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A0" w:rsidRDefault="00425730" w:rsidP="00FE7D28">
      <w:pPr>
        <w:spacing w:line="360" w:lineRule="auto"/>
        <w:jc w:val="both"/>
        <w:rPr>
          <w:lang w:val="en-GB"/>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2.95pt;margin-top:131.35pt;width:386.15pt;height:379.35pt;z-index:2;mso-position-vertical-relative:margin" filled="f" stroked="f">
            <v:textbox style="mso-next-textbox:#_x0000_s1029">
              <w:txbxContent>
                <w:p w:rsidR="001663A0" w:rsidRPr="008277E4" w:rsidRDefault="001663A0" w:rsidP="00FE7D28">
                  <w:pPr>
                    <w:jc w:val="center"/>
                    <w:rPr>
                      <w:rFonts w:ascii="EC Square Sans Pro Medium" w:hAnsi="EC Square Sans Pro Medium"/>
                      <w:color w:val="263673"/>
                      <w:sz w:val="24"/>
                      <w:lang w:val="en-GB"/>
                    </w:rPr>
                  </w:pPr>
                  <w:r w:rsidRPr="008277E4">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1663A0" w:rsidRPr="008277E4" w:rsidRDefault="001663A0" w:rsidP="00FE7D28">
                  <w:pPr>
                    <w:jc w:val="center"/>
                    <w:rPr>
                      <w:rFonts w:ascii="EC Square Sans Pro Medium" w:hAnsi="EC Square Sans Pro Medium"/>
                      <w:color w:val="263673"/>
                      <w:sz w:val="24"/>
                      <w:lang w:val="en-GB"/>
                    </w:rPr>
                  </w:pPr>
                  <w:r w:rsidRPr="008277E4">
                    <w:rPr>
                      <w:rFonts w:ascii="EC Square Sans Pro Medium" w:hAnsi="EC Square Sans Pro Medium"/>
                      <w:color w:val="263673"/>
                      <w:sz w:val="24"/>
                      <w:lang w:val="en-GB"/>
                    </w:rPr>
                    <w:t>MEM-TP</w:t>
                  </w:r>
                </w:p>
                <w:p w:rsidR="001663A0" w:rsidRDefault="001663A0" w:rsidP="00FE7D28">
                  <w:pPr>
                    <w:jc w:val="center"/>
                    <w:rPr>
                      <w:b/>
                      <w:i/>
                      <w:color w:val="263673"/>
                      <w:sz w:val="36"/>
                      <w:szCs w:val="36"/>
                      <w:lang w:val="en-GB"/>
                    </w:rPr>
                  </w:pPr>
                </w:p>
                <w:p w:rsidR="001663A0" w:rsidRPr="00906805" w:rsidRDefault="001663A0" w:rsidP="00FE7D28">
                  <w:pPr>
                    <w:jc w:val="center"/>
                    <w:rPr>
                      <w:rFonts w:ascii="Verdana" w:hAnsi="Verdana"/>
                      <w:b/>
                      <w:i/>
                      <w:color w:val="263673"/>
                      <w:sz w:val="36"/>
                      <w:szCs w:val="36"/>
                      <w:lang w:val="en-GB"/>
                    </w:rPr>
                  </w:pPr>
                  <w:r w:rsidRPr="00906805">
                    <w:rPr>
                      <w:rFonts w:ascii="Verdana" w:hAnsi="Verdana"/>
                      <w:b/>
                      <w:i/>
                      <w:color w:val="263673"/>
                      <w:sz w:val="36"/>
                      <w:szCs w:val="36"/>
                      <w:lang w:val="en-GB"/>
                    </w:rPr>
                    <w:t>MODULE 4</w:t>
                  </w:r>
                </w:p>
                <w:p w:rsidR="001663A0" w:rsidRPr="00906805" w:rsidRDefault="001663A0" w:rsidP="00FE7D28">
                  <w:pPr>
                    <w:jc w:val="center"/>
                    <w:rPr>
                      <w:rFonts w:ascii="Verdana" w:hAnsi="Verdana"/>
                      <w:b/>
                      <w:i/>
                      <w:color w:val="263673"/>
                      <w:sz w:val="36"/>
                      <w:szCs w:val="36"/>
                      <w:lang w:val="en-GB"/>
                    </w:rPr>
                  </w:pPr>
                </w:p>
                <w:p w:rsidR="001663A0" w:rsidRPr="00906805" w:rsidRDefault="001663A0" w:rsidP="00FE7D28">
                  <w:pPr>
                    <w:jc w:val="center"/>
                    <w:rPr>
                      <w:rFonts w:ascii="Verdana" w:hAnsi="Verdana"/>
                      <w:b/>
                      <w:i/>
                      <w:color w:val="263673"/>
                      <w:sz w:val="36"/>
                      <w:szCs w:val="36"/>
                      <w:lang w:val="en-GB"/>
                    </w:rPr>
                  </w:pPr>
                  <w:r w:rsidRPr="00906805">
                    <w:rPr>
                      <w:rFonts w:ascii="Verdana" w:hAnsi="Verdana"/>
                      <w:b/>
                      <w:i/>
                      <w:color w:val="263673"/>
                      <w:sz w:val="36"/>
                      <w:szCs w:val="36"/>
                      <w:lang w:val="en-GB"/>
                    </w:rPr>
                    <w:t>Knowledge Application</w:t>
                  </w:r>
                </w:p>
                <w:p w:rsidR="001663A0" w:rsidRPr="00906805" w:rsidRDefault="001663A0" w:rsidP="00FE7D28">
                  <w:pPr>
                    <w:jc w:val="center"/>
                    <w:rPr>
                      <w:rFonts w:ascii="Verdana" w:hAnsi="Verdana"/>
                      <w:b/>
                      <w:i/>
                      <w:color w:val="263673"/>
                      <w:sz w:val="36"/>
                      <w:szCs w:val="36"/>
                      <w:lang w:val="en-GB"/>
                    </w:rPr>
                  </w:pPr>
                </w:p>
                <w:p w:rsidR="001663A0" w:rsidRPr="00906805" w:rsidRDefault="001663A0" w:rsidP="00FE7D28">
                  <w:pPr>
                    <w:jc w:val="center"/>
                    <w:rPr>
                      <w:rFonts w:ascii="Verdana" w:hAnsi="Verdana"/>
                      <w:b/>
                      <w:i/>
                      <w:color w:val="263673"/>
                      <w:sz w:val="36"/>
                      <w:szCs w:val="36"/>
                      <w:lang w:val="en-GB"/>
                    </w:rPr>
                  </w:pPr>
                  <w:r w:rsidRPr="00906805">
                    <w:rPr>
                      <w:rFonts w:ascii="Verdana" w:hAnsi="Verdana"/>
                      <w:b/>
                      <w:i/>
                      <w:color w:val="263673"/>
                      <w:sz w:val="36"/>
                      <w:szCs w:val="36"/>
                      <w:lang w:val="en-GB"/>
                    </w:rPr>
                    <w:t>UNIT 1: Strategies and Procedures for People-Centered Health Care Services Oriented towards Cultural and Ethnic Diversity</w:t>
                  </w:r>
                </w:p>
                <w:p w:rsidR="001663A0" w:rsidRPr="00906805" w:rsidRDefault="001663A0" w:rsidP="00FE7D28">
                  <w:pPr>
                    <w:jc w:val="center"/>
                    <w:rPr>
                      <w:rFonts w:ascii="Verdana" w:hAnsi="Verdana"/>
                      <w:b/>
                      <w:i/>
                      <w:color w:val="263673"/>
                      <w:sz w:val="36"/>
                      <w:szCs w:val="36"/>
                      <w:lang w:val="en-GB"/>
                    </w:rPr>
                  </w:pPr>
                </w:p>
                <w:p w:rsidR="001663A0" w:rsidRPr="00906805" w:rsidRDefault="001663A0" w:rsidP="00FE7D28">
                  <w:pPr>
                    <w:jc w:val="center"/>
                    <w:rPr>
                      <w:rFonts w:ascii="Verdana" w:hAnsi="Verdana"/>
                      <w:b/>
                      <w:i/>
                      <w:color w:val="263673"/>
                      <w:sz w:val="36"/>
                      <w:szCs w:val="36"/>
                      <w:lang w:val="en-GB"/>
                    </w:rPr>
                  </w:pPr>
                  <w:r w:rsidRPr="00906805">
                    <w:rPr>
                      <w:rFonts w:ascii="Verdana" w:hAnsi="Verdana"/>
                      <w:b/>
                      <w:i/>
                      <w:color w:val="263673"/>
                      <w:sz w:val="36"/>
                      <w:szCs w:val="36"/>
                      <w:lang w:val="en-GB"/>
                    </w:rPr>
                    <w:t>Additional Information</w:t>
                  </w:r>
                </w:p>
                <w:p w:rsidR="001663A0" w:rsidRDefault="001663A0" w:rsidP="00FE7D28">
                  <w:pPr>
                    <w:jc w:val="center"/>
                    <w:rPr>
                      <w:b/>
                      <w:i/>
                      <w:color w:val="263673"/>
                      <w:sz w:val="36"/>
                      <w:szCs w:val="36"/>
                      <w:lang w:val="en-GB"/>
                    </w:rPr>
                  </w:pPr>
                </w:p>
                <w:p w:rsidR="001663A0" w:rsidRPr="008277E4" w:rsidRDefault="001663A0" w:rsidP="00FE7D28">
                  <w:pPr>
                    <w:jc w:val="center"/>
                    <w:rPr>
                      <w:rFonts w:ascii="EC Square Sans Pro Medium" w:hAnsi="EC Square Sans Pro Medium"/>
                      <w:i/>
                      <w:color w:val="263673"/>
                      <w:sz w:val="24"/>
                      <w:lang w:val="en-GB"/>
                    </w:rPr>
                  </w:pPr>
                  <w:r w:rsidRPr="008277E4">
                    <w:rPr>
                      <w:rFonts w:ascii="EC Square Sans Pro Medium" w:hAnsi="EC Square Sans Pro Medium"/>
                      <w:i/>
                      <w:color w:val="263673"/>
                      <w:sz w:val="24"/>
                      <w:lang w:val="en-GB"/>
                    </w:rPr>
                    <w:t>Prepared by:</w:t>
                  </w:r>
                </w:p>
                <w:p w:rsidR="001663A0" w:rsidRPr="008277E4" w:rsidRDefault="001663A0" w:rsidP="00FE7D28">
                  <w:pPr>
                    <w:jc w:val="center"/>
                    <w:rPr>
                      <w:rFonts w:ascii="EC Square Sans Pro Medium" w:hAnsi="EC Square Sans Pro Medium"/>
                      <w:i/>
                      <w:color w:val="263673"/>
                      <w:sz w:val="24"/>
                      <w:lang w:val="en-GB"/>
                    </w:rPr>
                  </w:pPr>
                  <w:r w:rsidRPr="008277E4">
                    <w:rPr>
                      <w:rFonts w:ascii="EC Square Sans Pro Medium" w:hAnsi="EC Square Sans Pro Medium"/>
                      <w:i/>
                      <w:color w:val="263673"/>
                      <w:sz w:val="24"/>
                      <w:lang w:val="en-GB"/>
                    </w:rPr>
                    <w:t>Amets Suess</w:t>
                  </w:r>
                </w:p>
                <w:p w:rsidR="001663A0" w:rsidRPr="002256F1" w:rsidRDefault="001663A0" w:rsidP="00FE7D28">
                  <w:pPr>
                    <w:jc w:val="center"/>
                    <w:rPr>
                      <w:rFonts w:ascii="EC Square Sans Pro Medium" w:hAnsi="EC Square Sans Pro Medium"/>
                      <w:i/>
                      <w:color w:val="263673"/>
                      <w:sz w:val="24"/>
                    </w:rPr>
                  </w:pPr>
                  <w:r>
                    <w:rPr>
                      <w:rFonts w:ascii="EC Square Sans Pro Medium" w:hAnsi="EC Square Sans Pro Medium"/>
                      <w:i/>
                      <w:color w:val="263673"/>
                      <w:sz w:val="24"/>
                    </w:rPr>
                    <w:t>Andalusian School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0" type="#_x0000_t75" alt="Cover.png" style="position:absolute;left:0;text-align:left;margin-left:-85.05pt;margin-top:0;width:595.65pt;height:841.05pt;z-index:1;visibility:visible;mso-position-vertical:center;mso-position-vertical-relative:margin">
            <v:imagedata r:id="rId7" o:title=""/>
            <w10:wrap type="square" anchory="margin"/>
          </v:shape>
        </w:pict>
      </w:r>
      <w:r w:rsidR="001663A0">
        <w:rPr>
          <w:b/>
          <w:bCs/>
          <w:color w:val="000080"/>
          <w:sz w:val="28"/>
          <w:szCs w:val="28"/>
          <w:lang w:val="en-GB"/>
        </w:rPr>
        <w:br w:type="page"/>
      </w:r>
    </w:p>
    <w:p w:rsidR="001663A0" w:rsidRDefault="001663A0" w:rsidP="00FE7D28">
      <w:pPr>
        <w:spacing w:line="360" w:lineRule="auto"/>
        <w:jc w:val="both"/>
        <w:rPr>
          <w:lang w:val="en-GB"/>
        </w:rPr>
      </w:pPr>
    </w:p>
    <w:p w:rsidR="001663A0" w:rsidRDefault="001663A0" w:rsidP="00FE7D28">
      <w:pPr>
        <w:spacing w:line="360" w:lineRule="auto"/>
        <w:jc w:val="both"/>
        <w:rPr>
          <w:lang w:val="en-GB"/>
        </w:rPr>
      </w:pPr>
    </w:p>
    <w:p w:rsidR="001663A0" w:rsidRDefault="001663A0" w:rsidP="00FE7D28">
      <w:pPr>
        <w:spacing w:line="360" w:lineRule="auto"/>
        <w:jc w:val="both"/>
        <w:rPr>
          <w:lang w:val="en-GB"/>
        </w:rPr>
      </w:pPr>
    </w:p>
    <w:p w:rsidR="001663A0" w:rsidRDefault="001663A0" w:rsidP="00FE7D28">
      <w:pPr>
        <w:spacing w:line="360" w:lineRule="auto"/>
        <w:jc w:val="both"/>
        <w:rPr>
          <w:lang w:val="en-GB"/>
        </w:rPr>
      </w:pPr>
    </w:p>
    <w:p w:rsidR="001663A0" w:rsidRDefault="001663A0" w:rsidP="00FE7D28">
      <w:pPr>
        <w:spacing w:line="360" w:lineRule="auto"/>
        <w:jc w:val="both"/>
        <w:rPr>
          <w:lang w:val="en-GB"/>
        </w:rPr>
      </w:pPr>
    </w:p>
    <w:p w:rsidR="001663A0" w:rsidRDefault="001663A0" w:rsidP="00FE7D28">
      <w:pPr>
        <w:spacing w:line="360" w:lineRule="auto"/>
        <w:jc w:val="both"/>
        <w:rPr>
          <w:lang w:val="en-GB"/>
        </w:rPr>
      </w:pPr>
    </w:p>
    <w:p w:rsidR="001663A0" w:rsidRDefault="001663A0" w:rsidP="00FE7D28">
      <w:pPr>
        <w:spacing w:line="360" w:lineRule="auto"/>
        <w:jc w:val="both"/>
        <w:rPr>
          <w:lang w:val="en-GB"/>
        </w:rPr>
      </w:pPr>
    </w:p>
    <w:p w:rsidR="001663A0" w:rsidRPr="004309D0" w:rsidRDefault="001663A0" w:rsidP="00FE7D28">
      <w:pPr>
        <w:spacing w:line="360" w:lineRule="auto"/>
        <w:jc w:val="both"/>
        <w:rPr>
          <w:lang w:val="en-GB"/>
        </w:rPr>
      </w:pPr>
    </w:p>
    <w:p w:rsidR="001663A0" w:rsidRPr="008277E4" w:rsidRDefault="001663A0" w:rsidP="00FE7D28">
      <w:pPr>
        <w:rPr>
          <w:rFonts w:ascii="EC Square Sans Pro Medium" w:hAnsi="EC Square Sans Pro Medium"/>
          <w:color w:val="263673"/>
          <w:sz w:val="20"/>
          <w:szCs w:val="20"/>
          <w:lang w:val="en-GB"/>
        </w:rPr>
      </w:pPr>
      <w:r w:rsidRPr="008277E4">
        <w:rPr>
          <w:rFonts w:ascii="EC Square Sans Pro Medium" w:hAnsi="EC Square Sans Pro Medium"/>
          <w:color w:val="263673"/>
          <w:sz w:val="20"/>
          <w:szCs w:val="20"/>
          <w:lang w:val="en-GB"/>
        </w:rPr>
        <w:t>© European Union, 2015</w:t>
      </w:r>
    </w:p>
    <w:p w:rsidR="001663A0" w:rsidRPr="008277E4" w:rsidRDefault="001663A0" w:rsidP="00FE7D28">
      <w:pPr>
        <w:rPr>
          <w:rFonts w:ascii="EC Square Sans Pro Medium" w:hAnsi="EC Square Sans Pro Medium"/>
          <w:color w:val="263673"/>
          <w:sz w:val="20"/>
          <w:szCs w:val="20"/>
          <w:lang w:val="en-GB"/>
        </w:rPr>
      </w:pPr>
      <w:r w:rsidRPr="008277E4">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1663A0" w:rsidRPr="008277E4" w:rsidRDefault="001663A0" w:rsidP="00FE7D28">
      <w:pPr>
        <w:rPr>
          <w:rFonts w:ascii="EC Square Sans Pro Medium" w:hAnsi="EC Square Sans Pro Medium"/>
          <w:color w:val="263673"/>
          <w:sz w:val="20"/>
          <w:szCs w:val="20"/>
          <w:lang w:val="en-GB"/>
        </w:rPr>
      </w:pPr>
    </w:p>
    <w:p w:rsidR="001663A0" w:rsidRPr="008277E4" w:rsidRDefault="001663A0" w:rsidP="00FE7D28">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8277E4">
        <w:rPr>
          <w:rFonts w:ascii="EC Square Sans Pro Medium" w:hAnsi="EC Square Sans Pro Medium"/>
          <w:color w:val="263673"/>
          <w:sz w:val="20"/>
          <w:szCs w:val="20"/>
          <w:lang w:val="en-GB"/>
        </w:rPr>
        <w:t>Junta de Andalucía.</w:t>
      </w:r>
    </w:p>
    <w:p w:rsidR="001663A0" w:rsidRPr="008277E4" w:rsidRDefault="001663A0" w:rsidP="00FE7D28">
      <w:pPr>
        <w:rPr>
          <w:rFonts w:ascii="EC Square Sans Pro Medium" w:hAnsi="EC Square Sans Pro Medium"/>
          <w:color w:val="263673"/>
          <w:sz w:val="20"/>
          <w:szCs w:val="20"/>
          <w:lang w:val="en-GB"/>
        </w:rPr>
      </w:pPr>
    </w:p>
    <w:p w:rsidR="001663A0" w:rsidRPr="008277E4" w:rsidRDefault="001663A0" w:rsidP="00FE7D28">
      <w:pPr>
        <w:spacing w:line="360" w:lineRule="auto"/>
        <w:jc w:val="both"/>
        <w:rPr>
          <w:lang w:val="en-GB"/>
        </w:rPr>
      </w:pPr>
    </w:p>
    <w:p w:rsidR="001663A0" w:rsidRPr="008277E4" w:rsidRDefault="001663A0" w:rsidP="00FE7D28">
      <w:pPr>
        <w:spacing w:line="360" w:lineRule="auto"/>
        <w:jc w:val="both"/>
        <w:rPr>
          <w:lang w:val="en-GB"/>
        </w:rPr>
      </w:pPr>
    </w:p>
    <w:p w:rsidR="001663A0" w:rsidRPr="008277E4" w:rsidRDefault="00425730" w:rsidP="00FE7D28">
      <w:pPr>
        <w:spacing w:line="360" w:lineRule="auto"/>
        <w:jc w:val="both"/>
        <w:rPr>
          <w:lang w:val="en-GB"/>
        </w:rPr>
      </w:pPr>
      <w:r>
        <w:rPr>
          <w:noProof/>
        </w:rPr>
        <w:pict>
          <v:group id="Lienzo 9" o:spid="_x0000_s1031"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2" type="#_x0000_t75" style="position:absolute;width:53238;height:8191;visibility:visible">
              <v:fill o:detectmouseclick="t"/>
              <v:path o:connecttype="none"/>
            </v:shape>
            <v:group id="Grupo 1" o:spid="_x0000_s1033"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4"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5"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1663A0" w:rsidRPr="00516EAF" w:rsidRDefault="001663A0" w:rsidP="00FE7D28">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6"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1663A0" w:rsidRPr="008277E4" w:rsidRDefault="001663A0" w:rsidP="00FE7D28">
      <w:pPr>
        <w:spacing w:line="360" w:lineRule="auto"/>
        <w:jc w:val="both"/>
        <w:rPr>
          <w:lang w:val="en-GB"/>
        </w:rPr>
      </w:pPr>
    </w:p>
    <w:p w:rsidR="001663A0" w:rsidRPr="008277E4" w:rsidRDefault="001663A0" w:rsidP="00FE7D28">
      <w:pPr>
        <w:jc w:val="both"/>
        <w:rPr>
          <w:rFonts w:ascii="Calibri Light" w:hAnsi="Calibri Light"/>
          <w:lang w:val="en-GB"/>
        </w:rPr>
      </w:pPr>
    </w:p>
    <w:p w:rsidR="001663A0" w:rsidRPr="008277E4" w:rsidRDefault="001663A0" w:rsidP="00FE7D28">
      <w:pPr>
        <w:rPr>
          <w:rFonts w:ascii="EC Square Sans Pro Medium" w:hAnsi="EC Square Sans Pro Medium"/>
          <w:color w:val="263673"/>
          <w:sz w:val="20"/>
          <w:szCs w:val="20"/>
          <w:lang w:val="en-GB"/>
        </w:rPr>
      </w:pPr>
    </w:p>
    <w:p w:rsidR="001663A0" w:rsidRPr="008277E4" w:rsidRDefault="001663A0" w:rsidP="00FE7D28">
      <w:pPr>
        <w:jc w:val="both"/>
        <w:rPr>
          <w:rFonts w:ascii="EC Square Sans Pro Medium" w:hAnsi="EC Square Sans Pro Medium"/>
          <w:color w:val="263673"/>
          <w:sz w:val="20"/>
          <w:szCs w:val="20"/>
          <w:lang w:val="en-GB"/>
        </w:rPr>
      </w:pPr>
    </w:p>
    <w:p w:rsidR="001663A0" w:rsidRPr="008277E4" w:rsidRDefault="001663A0" w:rsidP="00FE7D28">
      <w:pPr>
        <w:jc w:val="both"/>
        <w:rPr>
          <w:rFonts w:ascii="EC Square Sans Pro Medium" w:hAnsi="EC Square Sans Pro Medium"/>
          <w:color w:val="263673"/>
          <w:sz w:val="20"/>
          <w:szCs w:val="20"/>
          <w:lang w:val="en-GB"/>
        </w:rPr>
      </w:pPr>
    </w:p>
    <w:p w:rsidR="001663A0" w:rsidRPr="008277E4" w:rsidRDefault="001663A0" w:rsidP="00FE7D28">
      <w:pPr>
        <w:jc w:val="both"/>
        <w:rPr>
          <w:rFonts w:ascii="EC Square Sans Pro Medium" w:hAnsi="EC Square Sans Pro Medium"/>
          <w:color w:val="263673"/>
          <w:sz w:val="20"/>
          <w:szCs w:val="20"/>
          <w:lang w:val="en-GB"/>
        </w:rPr>
      </w:pPr>
    </w:p>
    <w:p w:rsidR="001663A0" w:rsidRPr="008277E4" w:rsidRDefault="001663A0" w:rsidP="00FE7D28">
      <w:pPr>
        <w:jc w:val="both"/>
        <w:rPr>
          <w:rFonts w:ascii="EC Square Sans Pro Medium" w:hAnsi="EC Square Sans Pro Medium"/>
          <w:color w:val="263673"/>
          <w:sz w:val="20"/>
          <w:szCs w:val="20"/>
          <w:lang w:val="en-GB"/>
        </w:rPr>
      </w:pPr>
    </w:p>
    <w:p w:rsidR="001663A0" w:rsidRPr="008277E4" w:rsidRDefault="001663A0" w:rsidP="00FE7D28">
      <w:pPr>
        <w:jc w:val="both"/>
        <w:rPr>
          <w:rFonts w:ascii="EC Square Sans Pro Medium" w:hAnsi="EC Square Sans Pro Medium"/>
          <w:color w:val="263673"/>
          <w:sz w:val="20"/>
          <w:szCs w:val="20"/>
          <w:lang w:val="en-GB"/>
        </w:rPr>
      </w:pPr>
      <w:r w:rsidRPr="008277E4">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8277E4">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Name">
        <w:smartTag w:uri="urn:schemas-microsoft-com:office:smarttags" w:element="place">
          <w:r w:rsidRPr="008277E4">
            <w:rPr>
              <w:rFonts w:ascii="EC Square Sans Pro Medium" w:hAnsi="EC Square Sans Pro Medium"/>
              <w:color w:val="263673"/>
              <w:sz w:val="20"/>
              <w:szCs w:val="20"/>
              <w:lang w:val="en-GB"/>
            </w:rPr>
            <w:t>Andalusian</w:t>
          </w:r>
        </w:smartTag>
        <w:r w:rsidRPr="008277E4">
          <w:rPr>
            <w:rFonts w:ascii="EC Square Sans Pro Medium" w:hAnsi="EC Square Sans Pro Medium"/>
            <w:color w:val="263673"/>
            <w:sz w:val="20"/>
            <w:szCs w:val="20"/>
            <w:lang w:val="en-GB"/>
          </w:rPr>
          <w:t xml:space="preserve"> </w:t>
        </w:r>
        <w:smartTag w:uri="urn:schemas-microsoft-com:office:smarttags" w:element="PlaceType">
          <w:r w:rsidRPr="008277E4">
            <w:rPr>
              <w:rFonts w:ascii="EC Square Sans Pro Medium" w:hAnsi="EC Square Sans Pro Medium"/>
              <w:color w:val="263673"/>
              <w:sz w:val="20"/>
              <w:szCs w:val="20"/>
              <w:lang w:val="en-GB"/>
            </w:rPr>
            <w:t>School</w:t>
          </w:r>
        </w:smartTag>
      </w:smartTag>
      <w:r w:rsidRPr="008277E4">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1663A0" w:rsidRDefault="001663A0" w:rsidP="00FD3D12">
      <w:pPr>
        <w:spacing w:line="360" w:lineRule="auto"/>
        <w:jc w:val="center"/>
        <w:rPr>
          <w:b/>
          <w:bCs/>
          <w:color w:val="000080"/>
          <w:sz w:val="28"/>
          <w:szCs w:val="28"/>
          <w:lang w:val="en-GB"/>
        </w:rPr>
      </w:pPr>
    </w:p>
    <w:p w:rsidR="001663A0" w:rsidRDefault="001663A0" w:rsidP="00FD3D12">
      <w:pPr>
        <w:spacing w:line="360" w:lineRule="auto"/>
        <w:jc w:val="center"/>
        <w:rPr>
          <w:b/>
          <w:bCs/>
          <w:color w:val="000080"/>
          <w:sz w:val="28"/>
          <w:szCs w:val="28"/>
          <w:lang w:val="en-GB"/>
        </w:rPr>
      </w:pPr>
    </w:p>
    <w:p w:rsidR="001663A0" w:rsidRDefault="001663A0" w:rsidP="00FD3D12">
      <w:pPr>
        <w:spacing w:line="360" w:lineRule="auto"/>
        <w:jc w:val="center"/>
        <w:rPr>
          <w:b/>
          <w:bCs/>
          <w:color w:val="000080"/>
          <w:sz w:val="28"/>
          <w:szCs w:val="28"/>
          <w:lang w:val="en-GB"/>
        </w:rPr>
      </w:pPr>
    </w:p>
    <w:p w:rsidR="001663A0" w:rsidRDefault="001663A0" w:rsidP="00FD3D12">
      <w:pPr>
        <w:spacing w:line="360" w:lineRule="auto"/>
        <w:jc w:val="center"/>
        <w:rPr>
          <w:b/>
          <w:bCs/>
          <w:color w:val="000080"/>
          <w:sz w:val="28"/>
          <w:szCs w:val="28"/>
          <w:lang w:val="en-GB"/>
        </w:rPr>
      </w:pPr>
    </w:p>
    <w:p w:rsidR="001663A0" w:rsidRDefault="001663A0" w:rsidP="00BA67A6">
      <w:pPr>
        <w:jc w:val="right"/>
        <w:rPr>
          <w:color w:val="000080"/>
          <w:sz w:val="24"/>
          <w:lang w:val="en-US"/>
        </w:rPr>
      </w:pPr>
    </w:p>
    <w:p w:rsidR="001663A0" w:rsidRDefault="001663A0" w:rsidP="00BA67A6">
      <w:pPr>
        <w:jc w:val="right"/>
        <w:rPr>
          <w:color w:val="000080"/>
          <w:sz w:val="24"/>
          <w:lang w:val="en-US"/>
        </w:rPr>
      </w:pPr>
    </w:p>
    <w:p w:rsidR="001663A0" w:rsidRPr="008277E4" w:rsidRDefault="001663A0" w:rsidP="0082235F">
      <w:pPr>
        <w:jc w:val="center"/>
        <w:rPr>
          <w:rFonts w:ascii="Verdana" w:hAnsi="Verdana"/>
          <w:b/>
          <w:bCs/>
          <w:color w:val="000080"/>
          <w:sz w:val="28"/>
          <w:szCs w:val="28"/>
          <w:lang w:val="en-GB"/>
        </w:rPr>
      </w:pPr>
      <w:r>
        <w:rPr>
          <w:b/>
          <w:bCs/>
          <w:color w:val="000080"/>
          <w:sz w:val="28"/>
          <w:szCs w:val="28"/>
          <w:lang w:val="en-GB"/>
        </w:rPr>
        <w:br w:type="page"/>
      </w:r>
      <w:r w:rsidRPr="008277E4">
        <w:rPr>
          <w:rFonts w:ascii="Verdana" w:hAnsi="Verdana"/>
          <w:b/>
          <w:bCs/>
          <w:color w:val="000080"/>
          <w:sz w:val="28"/>
          <w:szCs w:val="28"/>
          <w:lang w:val="en-GB"/>
        </w:rPr>
        <w:lastRenderedPageBreak/>
        <w:t>Module, Unit 1: Additional Information</w:t>
      </w:r>
    </w:p>
    <w:p w:rsidR="001663A0" w:rsidRPr="008277E4" w:rsidRDefault="001663A0" w:rsidP="004B3B10">
      <w:pPr>
        <w:spacing w:line="360" w:lineRule="auto"/>
        <w:jc w:val="center"/>
        <w:rPr>
          <w:rFonts w:ascii="Verdana" w:hAnsi="Verdana"/>
          <w:b/>
          <w:bCs/>
          <w:color w:val="000080"/>
          <w:sz w:val="28"/>
          <w:szCs w:val="28"/>
          <w:lang w:val="en-GB"/>
        </w:rPr>
      </w:pPr>
    </w:p>
    <w:p w:rsidR="001663A0" w:rsidRPr="008277E4" w:rsidRDefault="001663A0" w:rsidP="0015227F">
      <w:pPr>
        <w:numPr>
          <w:ilvl w:val="0"/>
          <w:numId w:val="13"/>
        </w:numPr>
        <w:spacing w:line="360" w:lineRule="auto"/>
        <w:jc w:val="both"/>
        <w:rPr>
          <w:rFonts w:ascii="Verdana" w:hAnsi="Verdana"/>
          <w:b/>
          <w:bCs/>
          <w:color w:val="000080"/>
          <w:sz w:val="24"/>
          <w:lang w:val="en-GB"/>
        </w:rPr>
      </w:pPr>
      <w:r w:rsidRPr="008277E4">
        <w:rPr>
          <w:rFonts w:ascii="Verdana" w:hAnsi="Verdana"/>
          <w:b/>
          <w:bCs/>
          <w:color w:val="000080"/>
          <w:sz w:val="24"/>
          <w:lang w:val="en-GB"/>
        </w:rPr>
        <w:t>Cultural Competence, Intercultural Competence, Difference Sensitivity and Diversity Sensitivity: Concepts</w:t>
      </w:r>
    </w:p>
    <w:p w:rsidR="001663A0" w:rsidRPr="008277E4" w:rsidRDefault="001663A0" w:rsidP="0015227F">
      <w:pPr>
        <w:jc w:val="both"/>
        <w:rPr>
          <w:rFonts w:ascii="Verdana" w:hAnsi="Verdana"/>
          <w:bCs/>
          <w:szCs w:val="22"/>
          <w:lang w:val="en-GB"/>
        </w:rPr>
      </w:pPr>
      <w:r w:rsidRPr="008277E4">
        <w:rPr>
          <w:rFonts w:ascii="Verdana" w:hAnsi="Verdana"/>
          <w:bCs/>
          <w:szCs w:val="22"/>
          <w:lang w:val="en-GB"/>
        </w:rPr>
        <w:t xml:space="preserve">As explained in Module 1, Unit </w:t>
      </w:r>
      <w:smartTag w:uri="urn:schemas-microsoft-com:office:smarttags" w:element="metricconverter">
        <w:smartTagPr>
          <w:attr w:name="ProductID" w:val="1, a"/>
        </w:smartTagPr>
        <w:r w:rsidRPr="008277E4">
          <w:rPr>
            <w:rFonts w:ascii="Verdana" w:hAnsi="Verdana"/>
            <w:bCs/>
            <w:szCs w:val="22"/>
            <w:lang w:val="en-GB"/>
          </w:rPr>
          <w:t>1, a</w:t>
        </w:r>
      </w:smartTag>
      <w:r w:rsidRPr="008277E4">
        <w:rPr>
          <w:rFonts w:ascii="Verdana" w:hAnsi="Verdana"/>
          <w:bCs/>
          <w:szCs w:val="22"/>
          <w:lang w:val="en-GB"/>
        </w:rPr>
        <w:t xml:space="preserve"> conceptual shift from cultural competence to diversity sensitivity can be observed, with a differentiated theoretical and thematic focus in each concept.</w:t>
      </w:r>
    </w:p>
    <w:p w:rsidR="001663A0" w:rsidRPr="008277E4" w:rsidRDefault="001663A0" w:rsidP="0015227F">
      <w:pPr>
        <w:jc w:val="both"/>
        <w:rPr>
          <w:rFonts w:ascii="Verdana" w:hAnsi="Verdana"/>
          <w:bCs/>
          <w:szCs w:val="22"/>
          <w:lang w:val="en-GB"/>
        </w:rPr>
      </w:pPr>
    </w:p>
    <w:p w:rsidR="001663A0" w:rsidRPr="008277E4" w:rsidRDefault="001663A0" w:rsidP="0043317B">
      <w:pPr>
        <w:jc w:val="both"/>
        <w:rPr>
          <w:rFonts w:ascii="Verdana" w:hAnsi="Verdana"/>
          <w:i/>
          <w:szCs w:val="22"/>
          <w:lang w:val="en-GB"/>
        </w:rPr>
      </w:pPr>
      <w:r w:rsidRPr="008277E4">
        <w:rPr>
          <w:rFonts w:ascii="Verdana" w:hAnsi="Verdana"/>
          <w:szCs w:val="22"/>
          <w:lang w:val="en-GB"/>
        </w:rPr>
        <w:t>Papadopoulos</w:t>
      </w:r>
      <w:r w:rsidRPr="008277E4">
        <w:rPr>
          <w:rStyle w:val="Refdenotaalpie"/>
          <w:rFonts w:ascii="Verdana" w:hAnsi="Verdana"/>
          <w:szCs w:val="22"/>
          <w:lang w:val="en-GB"/>
        </w:rPr>
        <w:footnoteReference w:id="1"/>
      </w:r>
      <w:r w:rsidRPr="008277E4">
        <w:rPr>
          <w:rFonts w:ascii="Verdana" w:hAnsi="Verdana"/>
          <w:szCs w:val="22"/>
          <w:lang w:val="en-GB"/>
        </w:rPr>
        <w:t xml:space="preserve"> defines </w:t>
      </w:r>
      <w:r w:rsidRPr="008277E4">
        <w:rPr>
          <w:rFonts w:ascii="Verdana" w:hAnsi="Verdana"/>
          <w:i/>
          <w:szCs w:val="22"/>
          <w:lang w:val="en-GB"/>
        </w:rPr>
        <w:t>“</w:t>
      </w:r>
      <w:r w:rsidRPr="008277E4">
        <w:rPr>
          <w:rFonts w:ascii="Verdana" w:hAnsi="Verdana"/>
          <w:b/>
          <w:i/>
          <w:szCs w:val="22"/>
          <w:lang w:val="en-GB"/>
        </w:rPr>
        <w:t>cultural competence”</w:t>
      </w:r>
      <w:r w:rsidRPr="008277E4">
        <w:rPr>
          <w:rFonts w:ascii="Verdana" w:hAnsi="Verdana"/>
          <w:szCs w:val="22"/>
          <w:lang w:val="en-GB"/>
        </w:rPr>
        <w:t xml:space="preserve"> as </w:t>
      </w:r>
      <w:r w:rsidRPr="008277E4">
        <w:rPr>
          <w:rFonts w:ascii="Verdana" w:hAnsi="Verdana"/>
          <w:i/>
          <w:szCs w:val="22"/>
          <w:lang w:val="en-GB"/>
        </w:rPr>
        <w:t xml:space="preserve">“the capacity to provide effective healthcare taking into consideration people's cultural beliefs, behaviours and needs. Cultural competence is both a process and an output, and results from the synthesis of knowledge and skills which we acquire during our personal and professional lives and to which we are constantly adding”. </w:t>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i/>
          <w:szCs w:val="22"/>
          <w:lang w:val="en-GB"/>
        </w:rPr>
      </w:pPr>
      <w:r w:rsidRPr="008277E4">
        <w:rPr>
          <w:rFonts w:ascii="Verdana" w:hAnsi="Verdana"/>
          <w:szCs w:val="22"/>
          <w:lang w:val="en-GB"/>
        </w:rPr>
        <w:t>The UNESCO</w:t>
      </w:r>
      <w:r w:rsidRPr="008277E4">
        <w:rPr>
          <w:rStyle w:val="Refdenotaalpie"/>
          <w:rFonts w:ascii="Verdana" w:hAnsi="Verdana"/>
          <w:szCs w:val="22"/>
          <w:lang w:val="en-GB"/>
        </w:rPr>
        <w:footnoteReference w:id="2"/>
      </w:r>
      <w:r w:rsidRPr="008277E4">
        <w:rPr>
          <w:rFonts w:ascii="Verdana" w:hAnsi="Verdana"/>
          <w:szCs w:val="22"/>
          <w:lang w:val="en-GB"/>
        </w:rPr>
        <w:t xml:space="preserve"> describes </w:t>
      </w:r>
      <w:r w:rsidRPr="008277E4">
        <w:rPr>
          <w:rFonts w:ascii="Verdana" w:hAnsi="Verdana"/>
          <w:i/>
          <w:szCs w:val="22"/>
          <w:lang w:val="en-GB"/>
        </w:rPr>
        <w:t>“</w:t>
      </w:r>
      <w:r w:rsidRPr="008277E4">
        <w:rPr>
          <w:rFonts w:ascii="Verdana" w:hAnsi="Verdana"/>
          <w:b/>
          <w:i/>
          <w:szCs w:val="22"/>
          <w:lang w:val="en-GB"/>
        </w:rPr>
        <w:t>intercultural competences”</w:t>
      </w:r>
      <w:r w:rsidRPr="008277E4">
        <w:rPr>
          <w:rFonts w:ascii="Verdana" w:hAnsi="Verdana"/>
          <w:szCs w:val="22"/>
          <w:lang w:val="en-GB"/>
        </w:rPr>
        <w:t xml:space="preserve"> as </w:t>
      </w:r>
      <w:r w:rsidRPr="008277E4">
        <w:rPr>
          <w:rFonts w:ascii="Verdana" w:hAnsi="Verdana"/>
          <w:i/>
          <w:szCs w:val="22"/>
          <w:lang w:val="en-GB"/>
        </w:rPr>
        <w:t xml:space="preserve">“having </w:t>
      </w:r>
      <w:r w:rsidRPr="008277E4">
        <w:rPr>
          <w:rFonts w:ascii="Verdana" w:hAnsi="Verdana"/>
          <w:bCs/>
          <w:i/>
          <w:szCs w:val="22"/>
          <w:lang w:val="en-GB"/>
        </w:rPr>
        <w:t>adequate relevant knowledge</w:t>
      </w:r>
      <w:r w:rsidRPr="008277E4">
        <w:rPr>
          <w:rFonts w:ascii="Verdana" w:hAnsi="Verdana"/>
          <w:i/>
          <w:szCs w:val="22"/>
          <w:lang w:val="en-GB"/>
        </w:rPr>
        <w:t xml:space="preserve"> about particular cultures, as well as </w:t>
      </w:r>
      <w:r w:rsidRPr="008277E4">
        <w:rPr>
          <w:rFonts w:ascii="Verdana" w:hAnsi="Verdana"/>
          <w:bCs/>
          <w:i/>
          <w:szCs w:val="22"/>
          <w:lang w:val="en-GB"/>
        </w:rPr>
        <w:t xml:space="preserve">general knowledge </w:t>
      </w:r>
      <w:r w:rsidRPr="008277E4">
        <w:rPr>
          <w:rFonts w:ascii="Verdana" w:hAnsi="Verdana"/>
          <w:i/>
          <w:szCs w:val="22"/>
          <w:lang w:val="en-GB"/>
        </w:rPr>
        <w:t>about the</w:t>
      </w:r>
      <w:r w:rsidRPr="008277E4">
        <w:rPr>
          <w:rFonts w:ascii="Verdana" w:hAnsi="Verdana"/>
          <w:bCs/>
          <w:i/>
          <w:szCs w:val="22"/>
          <w:lang w:val="en-GB"/>
        </w:rPr>
        <w:t xml:space="preserve"> sorts of issues arising when members of different cultures interact</w:t>
      </w:r>
      <w:r w:rsidRPr="008277E4">
        <w:rPr>
          <w:rFonts w:ascii="Verdana" w:hAnsi="Verdana"/>
          <w:i/>
          <w:szCs w:val="22"/>
          <w:lang w:val="en-GB"/>
        </w:rPr>
        <w:t xml:space="preserve">, holding receptive attitudes that encourage establishing and maintaining contact with diverse others, as well as having the skills required to draw upon both knowledge and attitudes when interacting with others from different cultures”. </w:t>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szCs w:val="22"/>
          <w:lang w:val="en-GB"/>
        </w:rPr>
      </w:pPr>
      <w:r w:rsidRPr="008277E4">
        <w:rPr>
          <w:rFonts w:ascii="Verdana" w:hAnsi="Verdana"/>
          <w:szCs w:val="22"/>
          <w:lang w:val="en-GB"/>
        </w:rPr>
        <w:t xml:space="preserve">Over the last years, the concept of </w:t>
      </w:r>
      <w:r w:rsidRPr="008277E4">
        <w:rPr>
          <w:rFonts w:ascii="Verdana" w:hAnsi="Verdana"/>
          <w:b/>
          <w:szCs w:val="22"/>
          <w:lang w:val="en-GB"/>
        </w:rPr>
        <w:t>“cultural diversity”</w:t>
      </w:r>
      <w:r w:rsidRPr="008277E4">
        <w:rPr>
          <w:rFonts w:ascii="Verdana" w:hAnsi="Verdana"/>
          <w:szCs w:val="22"/>
          <w:lang w:val="en-GB"/>
        </w:rPr>
        <w:t xml:space="preserve"> is increasingly being used. A model of health care oriented towards cultural diversity is based on the recognition of diversity as a positive social contribution. The development of health policies therefore focuses on addressing health care needs from a diversity perspective. Furthermore, the concepts of </w:t>
      </w:r>
      <w:r w:rsidRPr="008277E4">
        <w:rPr>
          <w:rFonts w:ascii="Verdana" w:hAnsi="Verdana"/>
          <w:b/>
          <w:szCs w:val="22"/>
          <w:lang w:val="en-GB"/>
        </w:rPr>
        <w:t>“cultural sensitivity”, “difference sensitivity”</w:t>
      </w:r>
      <w:r w:rsidRPr="008277E4">
        <w:rPr>
          <w:rFonts w:ascii="Verdana" w:hAnsi="Verdana"/>
          <w:szCs w:val="22"/>
          <w:lang w:val="en-GB"/>
        </w:rPr>
        <w:t xml:space="preserve"> and </w:t>
      </w:r>
      <w:r w:rsidRPr="008277E4">
        <w:rPr>
          <w:rFonts w:ascii="Verdana" w:hAnsi="Verdana"/>
          <w:b/>
          <w:szCs w:val="22"/>
          <w:lang w:val="en-GB"/>
        </w:rPr>
        <w:t xml:space="preserve">“diversity sensitivity” </w:t>
      </w:r>
      <w:r w:rsidRPr="008277E4">
        <w:rPr>
          <w:rFonts w:ascii="Verdana" w:hAnsi="Verdana"/>
          <w:szCs w:val="22"/>
          <w:lang w:val="en-GB"/>
        </w:rPr>
        <w:t xml:space="preserve">have been introduced. These are based on the relevance of health professionals and health organizations being aware of different forms of diversity, as well as the intersectional character of social inequalities. Health policies are thus aimed to reducing transversal and interconnected social inequalities. A slight conceptual difference between the concept of “difference sensitivity” and “diversity sensitivity” can be observed. There is a differentiated focus on “difference” versus “diversity”, at the same time as both concepts are used as synonyms. </w:t>
      </w:r>
    </w:p>
    <w:p w:rsidR="001663A0" w:rsidRPr="008277E4" w:rsidRDefault="001663A0" w:rsidP="0043317B">
      <w:pPr>
        <w:jc w:val="both"/>
        <w:rPr>
          <w:rFonts w:ascii="Verdana" w:hAnsi="Verdana"/>
          <w:b/>
          <w:szCs w:val="22"/>
          <w:lang w:val="en-GB"/>
        </w:rPr>
      </w:pPr>
    </w:p>
    <w:p w:rsidR="001663A0" w:rsidRPr="008277E4" w:rsidRDefault="001663A0" w:rsidP="0043317B">
      <w:pPr>
        <w:jc w:val="both"/>
        <w:rPr>
          <w:rFonts w:ascii="Verdana" w:hAnsi="Verdana"/>
          <w:i/>
          <w:szCs w:val="22"/>
          <w:lang w:val="en-GB"/>
        </w:rPr>
      </w:pPr>
      <w:r w:rsidRPr="008277E4">
        <w:rPr>
          <w:rFonts w:ascii="Verdana" w:hAnsi="Verdana"/>
          <w:szCs w:val="22"/>
          <w:lang w:val="en-GB"/>
        </w:rPr>
        <w:t xml:space="preserve">The UNESCO Universal Declaration on Cultural Diversity, defines </w:t>
      </w:r>
      <w:r w:rsidRPr="008277E4">
        <w:rPr>
          <w:rFonts w:ascii="Verdana" w:hAnsi="Verdana"/>
          <w:i/>
          <w:szCs w:val="22"/>
          <w:lang w:val="en-GB"/>
        </w:rPr>
        <w:t>“</w:t>
      </w:r>
      <w:r w:rsidRPr="008277E4">
        <w:rPr>
          <w:rFonts w:ascii="Verdana" w:hAnsi="Verdana"/>
          <w:b/>
          <w:i/>
          <w:szCs w:val="22"/>
          <w:lang w:val="en-GB"/>
        </w:rPr>
        <w:t>cultural diversity”</w:t>
      </w:r>
      <w:r w:rsidRPr="008277E4">
        <w:rPr>
          <w:rFonts w:ascii="Verdana" w:hAnsi="Verdana"/>
          <w:szCs w:val="22"/>
          <w:lang w:val="en-GB"/>
        </w:rPr>
        <w:t xml:space="preserve"> as </w:t>
      </w:r>
      <w:r w:rsidRPr="008277E4">
        <w:rPr>
          <w:rFonts w:ascii="Verdana" w:hAnsi="Verdana"/>
          <w:i/>
          <w:szCs w:val="22"/>
          <w:lang w:val="en-GB"/>
        </w:rPr>
        <w:t>“the common heritage of humanity”,</w:t>
      </w:r>
      <w:r w:rsidRPr="008277E4">
        <w:rPr>
          <w:rFonts w:ascii="Verdana" w:hAnsi="Verdana"/>
          <w:szCs w:val="22"/>
          <w:lang w:val="en-GB"/>
        </w:rPr>
        <w:t xml:space="preserve"> and argues that </w:t>
      </w:r>
      <w:r w:rsidRPr="008277E4">
        <w:rPr>
          <w:rFonts w:ascii="Verdana" w:hAnsi="Verdana"/>
          <w:i/>
          <w:szCs w:val="22"/>
          <w:lang w:val="en-GB"/>
        </w:rPr>
        <w:t xml:space="preserve">“Culture takes diverse forms across time and space. This diversity is embodied in the uniqueness and plurality of the identities of the groups and societies making </w:t>
      </w:r>
      <w:r w:rsidRPr="008277E4">
        <w:rPr>
          <w:rFonts w:ascii="Verdana" w:hAnsi="Verdana"/>
          <w:i/>
          <w:szCs w:val="22"/>
          <w:lang w:val="en-GB"/>
        </w:rPr>
        <w:lastRenderedPageBreak/>
        <w:t>up humankind. As a source of exchange, innovation and creativity, cultural diversity is as necessary for humankind as biodiversity is for nature. In this sense, it is the common heritage of humanity and should be recognized and affirmed for the benefit of present and future generations”</w:t>
      </w:r>
      <w:r w:rsidRPr="008277E4">
        <w:rPr>
          <w:rStyle w:val="Refdenotaalpie"/>
          <w:rFonts w:ascii="Verdana" w:hAnsi="Verdana"/>
          <w:szCs w:val="22"/>
          <w:lang w:val="en-GB"/>
        </w:rPr>
        <w:footnoteReference w:id="3"/>
      </w:r>
      <w:r w:rsidRPr="008277E4">
        <w:rPr>
          <w:rFonts w:ascii="Verdana" w:hAnsi="Verdana"/>
          <w:i/>
          <w:szCs w:val="22"/>
          <w:lang w:val="en-GB"/>
        </w:rPr>
        <w:t xml:space="preserve">. </w:t>
      </w:r>
      <w:r w:rsidRPr="008277E4">
        <w:rPr>
          <w:rFonts w:ascii="Verdana" w:hAnsi="Verdana"/>
          <w:szCs w:val="22"/>
          <w:lang w:val="en-GB"/>
        </w:rPr>
        <w:t xml:space="preserve">In Article 4, the UNESCO Declaration refers to the relationship between the concept and an ethical and Human Rights perspective: </w:t>
      </w:r>
      <w:r w:rsidRPr="008277E4">
        <w:rPr>
          <w:rFonts w:ascii="Verdana" w:hAnsi="Verdana"/>
          <w:i/>
          <w:szCs w:val="22"/>
          <w:lang w:val="en-GB"/>
        </w:rPr>
        <w:t>“Human rights as guarantees of cultural diversity. The defence of cultural diversity is an ethical imperative, inseparable from respect for human dignity. It implies a commitment to human rights and fundamental freedoms, in particular the rights of persons belonging to minorities and those of indigenous peoples”</w:t>
      </w:r>
      <w:r w:rsidRPr="008277E4">
        <w:rPr>
          <w:rStyle w:val="Refdenotaalpie"/>
          <w:rFonts w:ascii="Verdana" w:hAnsi="Verdana"/>
          <w:szCs w:val="22"/>
          <w:lang w:val="en-GB"/>
        </w:rPr>
        <w:t xml:space="preserve"> </w:t>
      </w:r>
      <w:r w:rsidRPr="008277E4">
        <w:rPr>
          <w:rStyle w:val="Refdenotaalpie"/>
          <w:rFonts w:ascii="Verdana" w:hAnsi="Verdana"/>
          <w:i/>
          <w:szCs w:val="22"/>
          <w:lang w:val="en-GB"/>
        </w:rPr>
        <w:footnoteReference w:id="4"/>
      </w:r>
      <w:r w:rsidRPr="008277E4">
        <w:rPr>
          <w:rFonts w:ascii="Verdana" w:hAnsi="Verdana"/>
          <w:i/>
          <w:szCs w:val="22"/>
          <w:lang w:val="en-GB"/>
        </w:rPr>
        <w:t>.</w:t>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szCs w:val="22"/>
          <w:lang w:val="en-GB"/>
        </w:rPr>
      </w:pPr>
      <w:r w:rsidRPr="008277E4">
        <w:rPr>
          <w:rFonts w:ascii="Verdana" w:hAnsi="Verdana"/>
          <w:szCs w:val="22"/>
          <w:lang w:val="en-GB"/>
        </w:rPr>
        <w:t>WHO, World Health Organization</w:t>
      </w:r>
      <w:r w:rsidRPr="008277E4">
        <w:rPr>
          <w:rStyle w:val="Refdenotaalpie"/>
          <w:rFonts w:ascii="Verdana" w:hAnsi="Verdana"/>
          <w:szCs w:val="22"/>
          <w:lang w:val="en-GB"/>
        </w:rPr>
        <w:footnoteReference w:id="5"/>
      </w:r>
      <w:r w:rsidRPr="008277E4">
        <w:rPr>
          <w:rFonts w:ascii="Verdana" w:hAnsi="Verdana"/>
          <w:szCs w:val="22"/>
          <w:lang w:val="en-GB"/>
        </w:rPr>
        <w:t xml:space="preserve">, introduces the concept of </w:t>
      </w:r>
      <w:r w:rsidRPr="008277E4">
        <w:rPr>
          <w:rFonts w:ascii="Verdana" w:hAnsi="Verdana"/>
          <w:b/>
          <w:i/>
          <w:szCs w:val="22"/>
          <w:lang w:val="en-GB"/>
        </w:rPr>
        <w:t>“cultural sensitivity”</w:t>
      </w:r>
      <w:r w:rsidRPr="008277E4">
        <w:rPr>
          <w:rFonts w:ascii="Verdana" w:hAnsi="Verdana"/>
          <w:szCs w:val="22"/>
          <w:lang w:val="en-GB"/>
        </w:rPr>
        <w:t xml:space="preserve"> related to ethnic minorities. It states: </w:t>
      </w:r>
      <w:r w:rsidRPr="008277E4">
        <w:rPr>
          <w:rFonts w:ascii="Verdana" w:hAnsi="Verdana"/>
          <w:i/>
          <w:szCs w:val="22"/>
          <w:lang w:val="en-GB"/>
        </w:rPr>
        <w:t>“The provision of modern health services thus need to carefully account for different cultural beliefs in order to be sufficiently culturally sensitive so as not to limit access of ethnic minorities for this reason”</w:t>
      </w:r>
      <w:r w:rsidRPr="008277E4">
        <w:rPr>
          <w:rStyle w:val="Refdenotaalpie"/>
          <w:rFonts w:ascii="Verdana" w:hAnsi="Verdana"/>
          <w:szCs w:val="22"/>
          <w:lang w:val="en-GB"/>
        </w:rPr>
        <w:t xml:space="preserve"> </w:t>
      </w:r>
      <w:r w:rsidRPr="008277E4">
        <w:rPr>
          <w:rFonts w:ascii="Verdana" w:hAnsi="Verdana"/>
          <w:szCs w:val="22"/>
          <w:lang w:val="en-GB"/>
        </w:rPr>
        <w:t>.</w:t>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i/>
          <w:szCs w:val="22"/>
          <w:lang w:val="en-GB"/>
        </w:rPr>
      </w:pPr>
      <w:r w:rsidRPr="008277E4">
        <w:rPr>
          <w:rFonts w:ascii="Verdana" w:hAnsi="Verdana"/>
          <w:szCs w:val="22"/>
          <w:lang w:val="en-GB"/>
        </w:rPr>
        <w:t xml:space="preserve">The Council of Europe includes an article focused on </w:t>
      </w:r>
      <w:r w:rsidRPr="008277E4">
        <w:rPr>
          <w:rFonts w:ascii="Verdana" w:hAnsi="Verdana"/>
          <w:i/>
          <w:szCs w:val="22"/>
          <w:lang w:val="en-GB"/>
        </w:rPr>
        <w:t>“</w:t>
      </w:r>
      <w:r w:rsidRPr="008277E4">
        <w:rPr>
          <w:rFonts w:ascii="Verdana" w:hAnsi="Verdana"/>
          <w:b/>
          <w:i/>
          <w:szCs w:val="22"/>
          <w:lang w:val="en-GB"/>
        </w:rPr>
        <w:t>sensitivity to health</w:t>
      </w:r>
      <w:r w:rsidRPr="008277E4">
        <w:rPr>
          <w:rFonts w:ascii="Verdana" w:hAnsi="Verdana"/>
          <w:i/>
          <w:szCs w:val="22"/>
          <w:lang w:val="en-GB"/>
        </w:rPr>
        <w:t xml:space="preserve"> and socio-cultural needs of multicultural populations”</w:t>
      </w:r>
      <w:r w:rsidRPr="008277E4">
        <w:rPr>
          <w:rFonts w:ascii="Verdana" w:hAnsi="Verdana"/>
          <w:szCs w:val="22"/>
          <w:lang w:val="en-GB"/>
        </w:rPr>
        <w:t xml:space="preserve"> and </w:t>
      </w:r>
      <w:r w:rsidRPr="008277E4">
        <w:rPr>
          <w:rFonts w:ascii="Verdana" w:hAnsi="Verdana"/>
          <w:b/>
          <w:i/>
          <w:szCs w:val="22"/>
          <w:lang w:val="en-GB"/>
        </w:rPr>
        <w:t>“cultural diversity”</w:t>
      </w:r>
      <w:r w:rsidRPr="008277E4">
        <w:rPr>
          <w:rFonts w:ascii="Verdana" w:hAnsi="Verdana"/>
          <w:szCs w:val="22"/>
          <w:lang w:val="en-GB"/>
        </w:rPr>
        <w:t xml:space="preserve"> in the </w:t>
      </w:r>
      <w:r w:rsidRPr="008277E4">
        <w:rPr>
          <w:rFonts w:ascii="Verdana" w:hAnsi="Verdana"/>
          <w:i/>
          <w:szCs w:val="22"/>
          <w:lang w:val="en-GB"/>
        </w:rPr>
        <w:t>Recommendation Rec2006(18) of the Committee of Ministers to Member States on health services in a multicultural society</w:t>
      </w:r>
      <w:r w:rsidRPr="008277E4">
        <w:rPr>
          <w:rStyle w:val="Refdenotaalpie"/>
          <w:rFonts w:ascii="Verdana" w:hAnsi="Verdana"/>
          <w:i/>
          <w:szCs w:val="22"/>
          <w:lang w:val="en-GB"/>
        </w:rPr>
        <w:footnoteReference w:id="6"/>
      </w:r>
      <w:r w:rsidRPr="008277E4">
        <w:rPr>
          <w:rFonts w:ascii="Verdana" w:hAnsi="Verdana"/>
          <w:i/>
          <w:szCs w:val="22"/>
          <w:lang w:val="en-GB"/>
        </w:rPr>
        <w:t>.</w:t>
      </w:r>
    </w:p>
    <w:p w:rsidR="001663A0" w:rsidRPr="008277E4" w:rsidRDefault="001663A0" w:rsidP="0043317B">
      <w:pPr>
        <w:jc w:val="both"/>
        <w:rPr>
          <w:rFonts w:ascii="Verdana" w:hAnsi="Verdana"/>
          <w:b/>
          <w:i/>
          <w:szCs w:val="22"/>
          <w:lang w:val="en-GB"/>
        </w:rPr>
      </w:pPr>
    </w:p>
    <w:p w:rsidR="001663A0" w:rsidRPr="008277E4" w:rsidRDefault="001663A0" w:rsidP="0043317B">
      <w:pPr>
        <w:ind w:left="567" w:right="567"/>
        <w:jc w:val="both"/>
        <w:rPr>
          <w:rFonts w:ascii="Verdana" w:hAnsi="Verdana"/>
          <w:szCs w:val="22"/>
          <w:lang w:val="en-GB"/>
        </w:rPr>
      </w:pPr>
      <w:r w:rsidRPr="008277E4">
        <w:rPr>
          <w:rFonts w:ascii="Verdana" w:hAnsi="Verdana"/>
          <w:b/>
          <w:bCs/>
          <w:szCs w:val="22"/>
          <w:lang w:val="en-GB"/>
        </w:rPr>
        <w:t>4. Sensitivity to health and socio-cultural needs of multicultural populations</w:t>
      </w:r>
    </w:p>
    <w:p w:rsidR="001663A0" w:rsidRPr="008277E4" w:rsidRDefault="001663A0" w:rsidP="0043317B">
      <w:pPr>
        <w:ind w:left="567" w:right="567"/>
        <w:jc w:val="both"/>
        <w:rPr>
          <w:rFonts w:ascii="Verdana" w:hAnsi="Verdana"/>
          <w:szCs w:val="22"/>
          <w:lang w:val="en-GB"/>
        </w:rPr>
      </w:pPr>
      <w:r w:rsidRPr="008277E4">
        <w:rPr>
          <w:rFonts w:ascii="Verdana" w:hAnsi="Verdana"/>
          <w:szCs w:val="22"/>
          <w:lang w:val="en-GB"/>
        </w:rPr>
        <w:t>4.1. Adequate assessment and analysis of the health problems of ethnic minorities is needed.</w:t>
      </w:r>
    </w:p>
    <w:p w:rsidR="001663A0" w:rsidRPr="008277E4" w:rsidRDefault="001663A0" w:rsidP="0043317B">
      <w:pPr>
        <w:ind w:left="567" w:right="567"/>
        <w:jc w:val="both"/>
        <w:rPr>
          <w:rFonts w:ascii="Verdana" w:hAnsi="Verdana"/>
          <w:szCs w:val="22"/>
          <w:lang w:val="en-GB"/>
        </w:rPr>
      </w:pPr>
      <w:r w:rsidRPr="008277E4">
        <w:rPr>
          <w:rFonts w:ascii="Verdana" w:hAnsi="Verdana"/>
          <w:szCs w:val="22"/>
          <w:lang w:val="en-GB"/>
        </w:rPr>
        <w:t>4.2. Member states should find appropriate answers to the objectively demonstrated added value of health care services that are specifically adapted to particular health (care) needs of a multicultural population. Ideally, all health care institutions should be equipped to treat health problems of all citizens; however, for very specific health problems it may be necessary to temporarily or even permanently create specialised services that respond to particular health care needs.</w:t>
      </w:r>
    </w:p>
    <w:p w:rsidR="001663A0" w:rsidRPr="008277E4" w:rsidRDefault="001663A0" w:rsidP="0043317B">
      <w:pPr>
        <w:ind w:left="567" w:right="567"/>
        <w:jc w:val="both"/>
        <w:rPr>
          <w:rFonts w:ascii="Verdana" w:hAnsi="Verdana"/>
          <w:szCs w:val="22"/>
          <w:lang w:val="en-GB"/>
        </w:rPr>
      </w:pPr>
      <w:r w:rsidRPr="008277E4">
        <w:rPr>
          <w:rFonts w:ascii="Verdana" w:hAnsi="Verdana"/>
          <w:szCs w:val="22"/>
          <w:lang w:val="en-GB"/>
        </w:rPr>
        <w:t xml:space="preserve">4.3. Measures should be taken that make it possible for the health care system to respond to the </w:t>
      </w:r>
      <w:r w:rsidRPr="008277E4">
        <w:rPr>
          <w:rFonts w:ascii="Verdana" w:hAnsi="Verdana"/>
          <w:bCs/>
          <w:szCs w:val="22"/>
          <w:lang w:val="en-GB"/>
        </w:rPr>
        <w:t>cultural diversity</w:t>
      </w:r>
      <w:r w:rsidRPr="008277E4">
        <w:rPr>
          <w:rFonts w:ascii="Verdana" w:hAnsi="Verdana"/>
          <w:szCs w:val="22"/>
          <w:lang w:val="en-GB"/>
        </w:rPr>
        <w:t xml:space="preserve"> of the population.</w:t>
      </w:r>
      <w:r w:rsidRPr="008277E4">
        <w:rPr>
          <w:rStyle w:val="Refdenotaalpie"/>
          <w:rFonts w:ascii="Verdana" w:hAnsi="Verdana"/>
          <w:i/>
          <w:szCs w:val="22"/>
          <w:lang w:val="en-GB"/>
        </w:rPr>
        <w:t xml:space="preserve"> </w:t>
      </w:r>
      <w:r w:rsidRPr="008277E4">
        <w:rPr>
          <w:rStyle w:val="Refdenotaalpie"/>
          <w:rFonts w:ascii="Verdana" w:hAnsi="Verdana"/>
          <w:i/>
          <w:szCs w:val="22"/>
          <w:lang w:val="en-GB"/>
        </w:rPr>
        <w:footnoteReference w:id="7"/>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szCs w:val="22"/>
          <w:lang w:val="en-GB"/>
        </w:rPr>
      </w:pPr>
      <w:r w:rsidRPr="008277E4">
        <w:rPr>
          <w:rFonts w:ascii="Verdana" w:hAnsi="Verdana"/>
          <w:szCs w:val="22"/>
          <w:lang w:val="en-GB"/>
        </w:rPr>
        <w:lastRenderedPageBreak/>
        <w:t>Renschler and Cattacin</w:t>
      </w:r>
      <w:r w:rsidRPr="008277E4">
        <w:rPr>
          <w:rStyle w:val="Refdenotaalpie"/>
          <w:rFonts w:ascii="Verdana" w:hAnsi="Verdana"/>
          <w:szCs w:val="22"/>
          <w:lang w:val="en-GB"/>
        </w:rPr>
        <w:footnoteReference w:id="8"/>
      </w:r>
      <w:r w:rsidRPr="008277E4">
        <w:rPr>
          <w:rFonts w:ascii="Verdana" w:hAnsi="Verdana"/>
          <w:szCs w:val="22"/>
          <w:lang w:val="en-GB"/>
        </w:rPr>
        <w:t xml:space="preserve"> use the term </w:t>
      </w:r>
      <w:r w:rsidRPr="008277E4">
        <w:rPr>
          <w:rFonts w:ascii="Verdana" w:hAnsi="Verdana"/>
          <w:b/>
          <w:i/>
          <w:szCs w:val="22"/>
          <w:lang w:val="en-GB"/>
        </w:rPr>
        <w:t>“difference sensitivity”,</w:t>
      </w:r>
      <w:r w:rsidRPr="008277E4">
        <w:rPr>
          <w:rFonts w:ascii="Verdana" w:hAnsi="Verdana"/>
          <w:i/>
          <w:szCs w:val="22"/>
          <w:lang w:val="en-GB"/>
        </w:rPr>
        <w:t xml:space="preserve"> </w:t>
      </w:r>
      <w:r w:rsidRPr="008277E4">
        <w:rPr>
          <w:rFonts w:ascii="Verdana" w:hAnsi="Verdana"/>
          <w:szCs w:val="22"/>
          <w:lang w:val="en-GB"/>
        </w:rPr>
        <w:t xml:space="preserve">describing its relevance in different health care levels. These include the policy level, quality assurance, patient-level, as well as health monitoring and research. They conclude that </w:t>
      </w:r>
      <w:r w:rsidRPr="008277E4">
        <w:rPr>
          <w:rFonts w:ascii="Verdana" w:hAnsi="Verdana"/>
          <w:i/>
          <w:szCs w:val="22"/>
          <w:lang w:val="en-GB"/>
        </w:rPr>
        <w:t>“a higher sensibility to difference in the health sector could be an efficient anti-discrimination measure at all levels of the health system. It is therefore necessary not only to overcome institutional difficulties and increase efficiency, but also to encourage and help institutions to adapt to changing realities and needs”.</w:t>
      </w:r>
      <w:r w:rsidRPr="008277E4">
        <w:rPr>
          <w:rFonts w:ascii="Verdana" w:hAnsi="Verdana"/>
          <w:szCs w:val="22"/>
          <w:lang w:val="en-GB"/>
        </w:rPr>
        <w:t xml:space="preserve"> </w:t>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szCs w:val="22"/>
          <w:lang w:val="en-GB"/>
        </w:rPr>
      </w:pPr>
      <w:r w:rsidRPr="008277E4">
        <w:rPr>
          <w:rFonts w:ascii="Verdana" w:hAnsi="Verdana"/>
          <w:szCs w:val="22"/>
          <w:lang w:val="en-GB"/>
        </w:rPr>
        <w:t>Chiarenza</w:t>
      </w:r>
      <w:r w:rsidRPr="008277E4">
        <w:rPr>
          <w:rStyle w:val="Refdenotaalpie"/>
          <w:rFonts w:ascii="Verdana" w:hAnsi="Verdana"/>
          <w:szCs w:val="22"/>
          <w:lang w:val="en-GB"/>
        </w:rPr>
        <w:footnoteReference w:id="9"/>
      </w:r>
      <w:r w:rsidRPr="008277E4">
        <w:rPr>
          <w:rFonts w:ascii="Verdana" w:hAnsi="Verdana"/>
          <w:szCs w:val="22"/>
          <w:lang w:val="en-GB"/>
        </w:rPr>
        <w:t xml:space="preserve"> analyses the development of the concept of </w:t>
      </w:r>
      <w:r w:rsidRPr="008277E4">
        <w:rPr>
          <w:rFonts w:ascii="Verdana" w:hAnsi="Verdana"/>
          <w:i/>
          <w:szCs w:val="22"/>
          <w:lang w:val="en-GB"/>
        </w:rPr>
        <w:t>“cultural competence”</w:t>
      </w:r>
      <w:r w:rsidRPr="008277E4">
        <w:rPr>
          <w:rFonts w:ascii="Verdana" w:hAnsi="Verdana"/>
          <w:szCs w:val="22"/>
          <w:lang w:val="en-GB"/>
        </w:rPr>
        <w:t xml:space="preserve"> towards </w:t>
      </w:r>
      <w:r w:rsidRPr="008277E4">
        <w:rPr>
          <w:rFonts w:ascii="Verdana" w:hAnsi="Verdana"/>
          <w:b/>
          <w:i/>
          <w:szCs w:val="22"/>
          <w:lang w:val="en-GB"/>
        </w:rPr>
        <w:t>“diversity within diversity”, “difference diversity</w:t>
      </w:r>
      <w:r w:rsidRPr="008277E4">
        <w:rPr>
          <w:rFonts w:ascii="Verdana" w:hAnsi="Verdana"/>
          <w:i/>
          <w:szCs w:val="22"/>
          <w:lang w:val="en-GB"/>
        </w:rPr>
        <w:t xml:space="preserve">” </w:t>
      </w:r>
      <w:r w:rsidRPr="008277E4">
        <w:rPr>
          <w:rFonts w:ascii="Verdana" w:hAnsi="Verdana"/>
          <w:szCs w:val="22"/>
          <w:lang w:val="en-GB"/>
        </w:rPr>
        <w:t xml:space="preserve">or </w:t>
      </w:r>
      <w:r w:rsidRPr="008277E4">
        <w:rPr>
          <w:rFonts w:ascii="Verdana" w:hAnsi="Verdana"/>
          <w:b/>
          <w:i/>
          <w:szCs w:val="22"/>
          <w:lang w:val="en-GB"/>
        </w:rPr>
        <w:t>“super-diversity”.</w:t>
      </w:r>
      <w:r w:rsidRPr="008277E4">
        <w:rPr>
          <w:rFonts w:ascii="Verdana" w:hAnsi="Verdana"/>
          <w:szCs w:val="22"/>
          <w:lang w:val="en-GB"/>
        </w:rPr>
        <w:t xml:space="preserve"> He proposes a shift from the attention to cultural differences towards a focus on social inequalities, power imbalances and intersectionalities:</w:t>
      </w:r>
    </w:p>
    <w:p w:rsidR="001663A0" w:rsidRPr="008277E4" w:rsidRDefault="001663A0" w:rsidP="0043317B">
      <w:pPr>
        <w:jc w:val="both"/>
        <w:rPr>
          <w:rFonts w:ascii="Verdana" w:hAnsi="Verdana"/>
          <w:szCs w:val="22"/>
          <w:lang w:val="en-GB"/>
        </w:rPr>
      </w:pPr>
    </w:p>
    <w:p w:rsidR="001663A0" w:rsidRPr="008277E4" w:rsidRDefault="001663A0" w:rsidP="0043317B">
      <w:pPr>
        <w:ind w:left="567" w:right="567"/>
        <w:jc w:val="both"/>
        <w:rPr>
          <w:rFonts w:ascii="Verdana" w:hAnsi="Verdana"/>
          <w:sz w:val="20"/>
          <w:szCs w:val="20"/>
          <w:lang w:val="en-GB"/>
        </w:rPr>
      </w:pPr>
      <w:r w:rsidRPr="008277E4">
        <w:rPr>
          <w:rFonts w:ascii="Verdana" w:hAnsi="Verdana"/>
          <w:sz w:val="20"/>
          <w:szCs w:val="20"/>
          <w:lang w:val="en-GB"/>
        </w:rPr>
        <w:t>As a starting-point, we need to modify the way the concept of culture is used in health care, going beyond mere ethnicity and race to include intersections of ethnicity, race, gender, age, class, education, religion, sexual orientation and physical ability. We should move the focus of our analysis from minority cultures to the dominant cultures in society, in order to understand how the unequal distribution of power allows certain groups and not others to acquire and maintain the majority of resources. We need to clarify that the notion of ‘difference’ relates more to power relations than to an ‘ethno-cultural’ trait about which it is possible to acquire specific knowledge. This calls for the development of improved sensitivity to difference, civic involvement and critical knowledge in the context of ‘super-diversity’, social inequalities and power imbalances.</w:t>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szCs w:val="22"/>
          <w:lang w:val="en-GB"/>
        </w:rPr>
      </w:pPr>
      <w:r w:rsidRPr="008277E4">
        <w:rPr>
          <w:rFonts w:ascii="Verdana" w:hAnsi="Verdana"/>
          <w:szCs w:val="22"/>
          <w:lang w:val="en-GB"/>
        </w:rPr>
        <w:t xml:space="preserve">The concept </w:t>
      </w:r>
      <w:r w:rsidRPr="008277E4">
        <w:rPr>
          <w:rFonts w:ascii="Verdana" w:hAnsi="Verdana"/>
          <w:i/>
          <w:szCs w:val="22"/>
          <w:lang w:val="en-GB"/>
        </w:rPr>
        <w:t xml:space="preserve">“difference sensitivity” </w:t>
      </w:r>
      <w:r w:rsidRPr="008277E4">
        <w:rPr>
          <w:rFonts w:ascii="Verdana" w:hAnsi="Verdana"/>
          <w:szCs w:val="22"/>
          <w:lang w:val="en-GB"/>
        </w:rPr>
        <w:t>is based on the intersectoral character of social inequalities, the recognition of diversity and the aim of improving equity in health care</w:t>
      </w:r>
      <w:r w:rsidRPr="008277E4">
        <w:rPr>
          <w:rStyle w:val="Refdenotaalpie"/>
          <w:rFonts w:ascii="Verdana" w:hAnsi="Verdana"/>
          <w:szCs w:val="22"/>
          <w:lang w:val="en-GB"/>
        </w:rPr>
        <w:footnoteReference w:id="10"/>
      </w:r>
      <w:r w:rsidRPr="008277E4">
        <w:rPr>
          <w:rFonts w:ascii="Verdana" w:hAnsi="Verdana"/>
          <w:szCs w:val="22"/>
          <w:lang w:val="en-GB"/>
        </w:rPr>
        <w:t>. This is in contrast to focusing only on specific individual experiences related to migration and ethnicity, and a static and essentialist conceptualization of culture.</w:t>
      </w:r>
    </w:p>
    <w:p w:rsidR="001663A0" w:rsidRPr="008277E4" w:rsidRDefault="001663A0" w:rsidP="0043317B">
      <w:pPr>
        <w:jc w:val="both"/>
        <w:rPr>
          <w:rFonts w:ascii="Verdana" w:hAnsi="Verdana"/>
          <w:szCs w:val="22"/>
          <w:lang w:val="en-GB"/>
        </w:rPr>
      </w:pPr>
    </w:p>
    <w:p w:rsidR="001663A0" w:rsidRPr="008277E4" w:rsidRDefault="001663A0" w:rsidP="0043317B">
      <w:pPr>
        <w:jc w:val="both"/>
        <w:rPr>
          <w:rFonts w:ascii="Verdana" w:hAnsi="Verdana"/>
          <w:b/>
          <w:i/>
          <w:szCs w:val="22"/>
          <w:lang w:val="en-GB"/>
        </w:rPr>
      </w:pPr>
      <w:r w:rsidRPr="008277E4">
        <w:rPr>
          <w:rFonts w:ascii="Verdana" w:hAnsi="Verdana"/>
          <w:szCs w:val="22"/>
          <w:lang w:val="en-GB"/>
        </w:rPr>
        <w:t xml:space="preserve">Mock-Muñoz de Luna et al. introduce the concept </w:t>
      </w:r>
      <w:r w:rsidRPr="008277E4">
        <w:rPr>
          <w:rFonts w:ascii="Verdana" w:hAnsi="Verdana"/>
          <w:b/>
          <w:i/>
          <w:szCs w:val="22"/>
          <w:lang w:val="en-GB"/>
        </w:rPr>
        <w:t xml:space="preserve">“diversity sensitivity” </w:t>
      </w:r>
      <w:r w:rsidRPr="008277E4">
        <w:rPr>
          <w:rFonts w:ascii="Verdana" w:hAnsi="Verdana"/>
          <w:szCs w:val="22"/>
          <w:lang w:val="en-GB"/>
        </w:rPr>
        <w:t>In the MEM-TP Synthesis Report</w:t>
      </w:r>
      <w:r w:rsidRPr="008277E4">
        <w:rPr>
          <w:rStyle w:val="Refdenotaalpie"/>
          <w:rFonts w:ascii="Verdana" w:hAnsi="Verdana"/>
          <w:szCs w:val="22"/>
          <w:lang w:val="en-GB"/>
        </w:rPr>
        <w:footnoteReference w:id="11"/>
      </w:r>
      <w:r w:rsidRPr="008277E4">
        <w:rPr>
          <w:rFonts w:ascii="Verdana" w:hAnsi="Verdana"/>
          <w:szCs w:val="22"/>
          <w:lang w:val="en-GB"/>
        </w:rPr>
        <w:t>.</w:t>
      </w:r>
    </w:p>
    <w:p w:rsidR="001663A0" w:rsidRPr="008277E4" w:rsidRDefault="001663A0" w:rsidP="0043317B">
      <w:pPr>
        <w:jc w:val="both"/>
        <w:rPr>
          <w:rFonts w:ascii="Verdana" w:hAnsi="Verdana"/>
          <w:bCs/>
          <w:szCs w:val="22"/>
          <w:lang w:val="en-GB"/>
        </w:rPr>
      </w:pPr>
    </w:p>
    <w:p w:rsidR="001663A0" w:rsidRPr="008277E4" w:rsidRDefault="001663A0" w:rsidP="0015227F">
      <w:pPr>
        <w:spacing w:line="360" w:lineRule="auto"/>
        <w:jc w:val="both"/>
        <w:rPr>
          <w:rFonts w:ascii="Verdana" w:hAnsi="Verdana"/>
          <w:bCs/>
          <w:color w:val="000080"/>
          <w:szCs w:val="22"/>
          <w:lang w:val="en-GB"/>
        </w:rPr>
      </w:pPr>
    </w:p>
    <w:p w:rsidR="001663A0" w:rsidRPr="008277E4" w:rsidRDefault="001663A0" w:rsidP="0015227F">
      <w:pPr>
        <w:spacing w:line="360" w:lineRule="auto"/>
        <w:jc w:val="both"/>
        <w:rPr>
          <w:rFonts w:ascii="Verdana" w:hAnsi="Verdana"/>
          <w:bCs/>
          <w:color w:val="000080"/>
          <w:szCs w:val="22"/>
          <w:lang w:val="en-GB"/>
        </w:rPr>
      </w:pPr>
    </w:p>
    <w:p w:rsidR="001663A0" w:rsidRPr="008277E4" w:rsidRDefault="001663A0" w:rsidP="0015227F">
      <w:pPr>
        <w:numPr>
          <w:ilvl w:val="0"/>
          <w:numId w:val="13"/>
        </w:numPr>
        <w:spacing w:line="360" w:lineRule="auto"/>
        <w:jc w:val="both"/>
        <w:rPr>
          <w:rFonts w:ascii="Verdana" w:hAnsi="Verdana"/>
          <w:b/>
          <w:bCs/>
          <w:color w:val="000080"/>
          <w:sz w:val="24"/>
          <w:lang w:val="en-GB"/>
        </w:rPr>
      </w:pPr>
      <w:r w:rsidRPr="008277E4">
        <w:rPr>
          <w:rFonts w:ascii="Verdana" w:hAnsi="Verdana"/>
          <w:b/>
          <w:bCs/>
          <w:color w:val="000080"/>
          <w:sz w:val="24"/>
          <w:lang w:val="en-GB"/>
        </w:rPr>
        <w:t>International and European Human Rights Framework</w:t>
      </w:r>
    </w:p>
    <w:p w:rsidR="001663A0" w:rsidRPr="008277E4" w:rsidRDefault="001663A0" w:rsidP="0015227F">
      <w:pPr>
        <w:spacing w:line="360" w:lineRule="auto"/>
        <w:ind w:left="720"/>
        <w:jc w:val="both"/>
        <w:rPr>
          <w:rFonts w:ascii="Verdana" w:hAnsi="Verdana"/>
          <w:b/>
          <w:bCs/>
          <w:color w:val="000080"/>
          <w:sz w:val="24"/>
          <w:lang w:val="en-GB"/>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1663A0" w:rsidRPr="008277E4" w:rsidTr="005D7B47">
        <w:trPr>
          <w:cantSplit/>
          <w:tblHeader/>
        </w:trPr>
        <w:tc>
          <w:tcPr>
            <w:tcW w:w="8644" w:type="dxa"/>
            <w:shd w:val="clear" w:color="auto" w:fill="E6E6E6"/>
            <w:vAlign w:val="center"/>
          </w:tcPr>
          <w:p w:rsidR="001663A0" w:rsidRPr="008277E4" w:rsidRDefault="001663A0" w:rsidP="00C53533">
            <w:pPr>
              <w:spacing w:before="100" w:after="100"/>
              <w:jc w:val="center"/>
              <w:rPr>
                <w:rFonts w:ascii="Verdana" w:hAnsi="Verdana"/>
                <w:b/>
                <w:bCs/>
                <w:sz w:val="24"/>
                <w:lang w:val="en-GB"/>
              </w:rPr>
            </w:pPr>
            <w:r w:rsidRPr="008277E4">
              <w:rPr>
                <w:rFonts w:ascii="Verdana" w:hAnsi="Verdana"/>
                <w:b/>
                <w:bCs/>
                <w:sz w:val="24"/>
                <w:szCs w:val="22"/>
                <w:lang w:val="en-GB"/>
              </w:rPr>
              <w:t>International and European Human Rights Framework:</w:t>
            </w:r>
          </w:p>
          <w:p w:rsidR="001663A0" w:rsidRPr="008277E4" w:rsidRDefault="001663A0" w:rsidP="00C53533">
            <w:pPr>
              <w:spacing w:before="100" w:after="100"/>
              <w:jc w:val="center"/>
              <w:rPr>
                <w:rFonts w:ascii="Verdana" w:hAnsi="Verdana"/>
                <w:b/>
                <w:bCs/>
                <w:sz w:val="24"/>
                <w:lang w:val="en-GB"/>
              </w:rPr>
            </w:pPr>
            <w:r w:rsidRPr="008277E4">
              <w:rPr>
                <w:rFonts w:ascii="Verdana" w:hAnsi="Verdana"/>
                <w:b/>
                <w:bCs/>
                <w:sz w:val="24"/>
                <w:szCs w:val="22"/>
                <w:lang w:val="en-GB"/>
              </w:rPr>
              <w:t>Migrants and Ethnic Minorities</w:t>
            </w:r>
          </w:p>
        </w:tc>
      </w:tr>
      <w:tr w:rsidR="001663A0" w:rsidRPr="008277E4" w:rsidTr="00715EA2">
        <w:tc>
          <w:tcPr>
            <w:tcW w:w="8644" w:type="dxa"/>
            <w:shd w:val="clear" w:color="auto" w:fill="F3F3F3"/>
            <w:vAlign w:val="center"/>
          </w:tcPr>
          <w:p w:rsidR="001663A0" w:rsidRPr="008277E4" w:rsidRDefault="001663A0" w:rsidP="00C53533">
            <w:pPr>
              <w:spacing w:before="100" w:after="100"/>
              <w:jc w:val="center"/>
              <w:rPr>
                <w:rFonts w:ascii="Verdana" w:hAnsi="Verdana"/>
                <w:b/>
                <w:bCs/>
                <w:sz w:val="24"/>
                <w:lang w:val="en-GB"/>
              </w:rPr>
            </w:pPr>
            <w:r w:rsidRPr="008277E4">
              <w:rPr>
                <w:rFonts w:ascii="Verdana" w:hAnsi="Verdana"/>
                <w:b/>
                <w:bCs/>
                <w:sz w:val="24"/>
                <w:szCs w:val="22"/>
                <w:lang w:val="en-GB"/>
              </w:rPr>
              <w:t>International Context</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WHO, World Health Organization. Constitution, 1946 [1948].</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 United Nations. Universal Declaration of Human Rights, 1948.</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 United Nations. International Covenant on Economic, Social and Cultural Rights, 1966 [1976].</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 United Nations. International Convention on the Elimination of All Forms of Racial Discrimination, 1969.</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WHO, World Health Organization, Declaration of Alma-Ata, 1978.</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 United Nations. Convention on the Elimination of All Forms of Discrimination Against Women (CEDAW), 1979.</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WHO, World Health Organization, Ottawa Charter for Health Promotion, 1986.</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 United Nations. Convention on the Rights of the Child, 1989.</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 United Nations. International Convention on the Protection of the Rights of All Migrant Workers and Members of Their Families, 1990.</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 xml:space="preserve">UN, United Nations. Declaration on the Rights of Persons Belonging to National or Ethnic, Religious and Linguistic Minorities, 1992. </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 United Nations. Committee on Economic, Social and Cultural Rights. General Comments, No. 14, The Right to the Highest Attainable Standard of Health, 2000.</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UNDP, United Nations Development Programme. Avoiding the Dependency Trap. The Roma Human Development Report, 2003.</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 xml:space="preserve">WHO, World Health Organization. International Migration, Health and Human Rights, 2003. </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WHO, World Health Organization. The Bangkok Charter for Health Promotion in a Globalized World, 2005.</w:t>
            </w:r>
          </w:p>
        </w:tc>
      </w:tr>
      <w:tr w:rsidR="001663A0" w:rsidRPr="008277E4" w:rsidTr="00715EA2">
        <w:tc>
          <w:tcPr>
            <w:tcW w:w="8644" w:type="dxa"/>
            <w:vAlign w:val="center"/>
          </w:tcPr>
          <w:p w:rsidR="001663A0" w:rsidRPr="008277E4" w:rsidRDefault="001663A0" w:rsidP="00715EA2">
            <w:pPr>
              <w:jc w:val="both"/>
              <w:rPr>
                <w:rFonts w:ascii="Verdana" w:hAnsi="Verdana"/>
                <w:bCs/>
                <w:sz w:val="20"/>
                <w:szCs w:val="20"/>
              </w:rPr>
            </w:pPr>
            <w:r w:rsidRPr="008277E4">
              <w:rPr>
                <w:rFonts w:ascii="Verdana" w:hAnsi="Verdana"/>
                <w:bCs/>
                <w:sz w:val="20"/>
                <w:szCs w:val="20"/>
                <w:lang w:val="en-GB"/>
              </w:rPr>
              <w:t xml:space="preserve">UN, United Nations. Committee on Economic, Social and Cultural Rights. </w:t>
            </w:r>
            <w:r w:rsidRPr="008277E4">
              <w:rPr>
                <w:rFonts w:ascii="Verdana" w:hAnsi="Verdana"/>
                <w:bCs/>
                <w:sz w:val="20"/>
                <w:szCs w:val="20"/>
              </w:rPr>
              <w:t>General Comments, No. 19. The Right to Social Security, 2007.</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 xml:space="preserve">UN, United Nations. Declaration on the Rights of Indigenous People, 2007. </w:t>
            </w:r>
          </w:p>
        </w:tc>
      </w:tr>
      <w:tr w:rsidR="001663A0" w:rsidRPr="008277E4" w:rsidTr="00715EA2">
        <w:tc>
          <w:tcPr>
            <w:tcW w:w="8644" w:type="dxa"/>
            <w:vAlign w:val="center"/>
          </w:tcPr>
          <w:p w:rsidR="001663A0" w:rsidRPr="008277E4" w:rsidRDefault="001663A0" w:rsidP="00715EA2">
            <w:pPr>
              <w:jc w:val="both"/>
              <w:rPr>
                <w:rFonts w:ascii="Verdana" w:hAnsi="Verdana"/>
                <w:bCs/>
                <w:sz w:val="20"/>
                <w:szCs w:val="20"/>
              </w:rPr>
            </w:pPr>
            <w:r w:rsidRPr="008277E4">
              <w:rPr>
                <w:rFonts w:ascii="Verdana" w:hAnsi="Verdana"/>
                <w:bCs/>
                <w:sz w:val="20"/>
                <w:szCs w:val="20"/>
                <w:lang w:val="en-GB"/>
              </w:rPr>
              <w:t xml:space="preserve">WHO, World Health Organization. World Health Assembly. </w:t>
            </w:r>
            <w:r w:rsidRPr="008277E4">
              <w:rPr>
                <w:rFonts w:ascii="Verdana" w:hAnsi="Verdana"/>
                <w:bCs/>
                <w:sz w:val="20"/>
                <w:szCs w:val="20"/>
              </w:rPr>
              <w:t>Health of Migrants, WHA61.17, 2008.</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US"/>
              </w:rPr>
            </w:pPr>
            <w:r w:rsidRPr="008277E4">
              <w:rPr>
                <w:rFonts w:ascii="Verdana" w:hAnsi="Verdana"/>
                <w:bCs/>
                <w:sz w:val="20"/>
                <w:szCs w:val="20"/>
                <w:lang w:val="en-GB"/>
              </w:rPr>
              <w:t xml:space="preserve">UN, United Nations. Committee on Economic, Social and Cultural Rights. </w:t>
            </w:r>
            <w:r w:rsidRPr="008277E4">
              <w:rPr>
                <w:rFonts w:ascii="Verdana" w:hAnsi="Verdana"/>
                <w:bCs/>
                <w:sz w:val="20"/>
                <w:szCs w:val="20"/>
                <w:lang w:val="en-US"/>
              </w:rPr>
              <w:t>General Comments, No. 20. Non-Discrimination in Economic, Social and Cultural Rights, 2009</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US"/>
              </w:rPr>
              <w:t xml:space="preserve">WHO, Word Health Organization; IOM, International Organization for Migration. Health of Migrants – The Way Forward. Report of a global consultation, Madrid, Spain, 2010. </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GB"/>
              </w:rPr>
              <w:t xml:space="preserve">WHO, World Health Organization. Rio Political Declaration on Social Determinants of Health, 2011. </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GB"/>
              </w:rPr>
            </w:pPr>
            <w:r w:rsidRPr="008277E4">
              <w:rPr>
                <w:rFonts w:ascii="Verdana" w:hAnsi="Verdana"/>
                <w:bCs/>
                <w:sz w:val="20"/>
                <w:szCs w:val="20"/>
                <w:lang w:val="en-US"/>
              </w:rPr>
              <w:t>WHO, World Health Organization. Commission on Social Determinants of Health. Closing the gap in a generation: Health equity through action on the social determinants of health, 2009.</w:t>
            </w:r>
          </w:p>
        </w:tc>
      </w:tr>
      <w:tr w:rsidR="001663A0" w:rsidRPr="00F906FB" w:rsidTr="00715EA2">
        <w:tc>
          <w:tcPr>
            <w:tcW w:w="8644" w:type="dxa"/>
            <w:vAlign w:val="center"/>
          </w:tcPr>
          <w:p w:rsidR="001663A0" w:rsidRPr="008277E4" w:rsidRDefault="001663A0" w:rsidP="00715EA2">
            <w:pPr>
              <w:jc w:val="both"/>
              <w:rPr>
                <w:rFonts w:ascii="Verdana" w:hAnsi="Verdana"/>
                <w:bCs/>
                <w:sz w:val="20"/>
                <w:szCs w:val="20"/>
                <w:lang w:val="en-US"/>
              </w:rPr>
            </w:pPr>
            <w:r w:rsidRPr="008277E4">
              <w:rPr>
                <w:rFonts w:ascii="Verdana" w:hAnsi="Verdana"/>
                <w:bCs/>
                <w:sz w:val="20"/>
                <w:szCs w:val="20"/>
                <w:lang w:val="en-US"/>
              </w:rPr>
              <w:t>WHO, World Health Organization. Rio Political Declaration on Social Determinants of Health, 2001.</w:t>
            </w:r>
          </w:p>
          <w:p w:rsidR="001663A0" w:rsidRPr="008277E4" w:rsidRDefault="001663A0" w:rsidP="00715EA2">
            <w:pPr>
              <w:jc w:val="both"/>
              <w:rPr>
                <w:rFonts w:ascii="Verdana" w:hAnsi="Verdana"/>
                <w:bCs/>
                <w:sz w:val="20"/>
                <w:szCs w:val="20"/>
                <w:lang w:val="en-US"/>
              </w:rPr>
            </w:pPr>
          </w:p>
        </w:tc>
      </w:tr>
    </w:tbl>
    <w:p w:rsidR="001663A0" w:rsidRPr="008277E4" w:rsidRDefault="001663A0" w:rsidP="00715EA2">
      <w:pPr>
        <w:rPr>
          <w:rFonts w:ascii="Verdana" w:hAnsi="Verdana"/>
          <w:vanish/>
          <w:lang w:val="en-GB"/>
        </w:rPr>
      </w:pPr>
    </w:p>
    <w:p w:rsidR="001663A0" w:rsidRPr="008277E4" w:rsidRDefault="001663A0">
      <w:pPr>
        <w:rPr>
          <w:rFonts w:ascii="Verdana" w:hAnsi="Verdana"/>
          <w:vanish/>
          <w:lang w:val="en-GB"/>
        </w:rPr>
      </w:pPr>
      <w:r w:rsidRPr="008277E4">
        <w:rPr>
          <w:rFonts w:ascii="Verdana" w:hAnsi="Verdana"/>
          <w:vanish/>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4"/>
      </w:tblGrid>
      <w:tr w:rsidR="001663A0" w:rsidRPr="008277E4" w:rsidTr="00AD05FE">
        <w:tc>
          <w:tcPr>
            <w:tcW w:w="8644" w:type="dxa"/>
            <w:shd w:val="clear" w:color="auto" w:fill="E6E6E6"/>
            <w:vAlign w:val="center"/>
          </w:tcPr>
          <w:p w:rsidR="001663A0" w:rsidRPr="008277E4" w:rsidRDefault="001663A0" w:rsidP="00C53533">
            <w:pPr>
              <w:spacing w:before="100" w:after="100"/>
              <w:jc w:val="center"/>
              <w:rPr>
                <w:rFonts w:ascii="Verdana" w:hAnsi="Verdana"/>
                <w:b/>
                <w:bCs/>
                <w:sz w:val="24"/>
                <w:lang w:val="en-GB"/>
              </w:rPr>
            </w:pPr>
            <w:r w:rsidRPr="008277E4">
              <w:rPr>
                <w:rFonts w:ascii="Verdana" w:hAnsi="Verdana"/>
                <w:b/>
                <w:bCs/>
                <w:sz w:val="24"/>
                <w:szCs w:val="22"/>
                <w:lang w:val="en-GB"/>
              </w:rPr>
              <w:t>International and European Human Rights Framework:</w:t>
            </w:r>
          </w:p>
          <w:p w:rsidR="001663A0" w:rsidRPr="008277E4" w:rsidRDefault="001663A0" w:rsidP="00C53533">
            <w:pPr>
              <w:spacing w:before="100" w:after="100"/>
              <w:jc w:val="center"/>
              <w:rPr>
                <w:rFonts w:ascii="Verdana" w:hAnsi="Verdana"/>
                <w:b/>
                <w:bCs/>
                <w:sz w:val="24"/>
                <w:lang w:val="en-GB"/>
              </w:rPr>
            </w:pPr>
            <w:r w:rsidRPr="008277E4">
              <w:rPr>
                <w:rFonts w:ascii="Verdana" w:hAnsi="Verdana"/>
                <w:b/>
                <w:bCs/>
                <w:sz w:val="24"/>
                <w:szCs w:val="22"/>
                <w:lang w:val="en-GB"/>
              </w:rPr>
              <w:lastRenderedPageBreak/>
              <w:t>Migrants and Ethnic Minorities</w:t>
            </w:r>
          </w:p>
        </w:tc>
      </w:tr>
      <w:tr w:rsidR="001663A0" w:rsidRPr="008277E4" w:rsidTr="00AD05FE">
        <w:tc>
          <w:tcPr>
            <w:tcW w:w="8644" w:type="dxa"/>
            <w:shd w:val="clear" w:color="auto" w:fill="F3F3F3"/>
            <w:vAlign w:val="center"/>
          </w:tcPr>
          <w:p w:rsidR="001663A0" w:rsidRPr="008277E4" w:rsidRDefault="001663A0" w:rsidP="00C53533">
            <w:pPr>
              <w:spacing w:before="100" w:after="100"/>
              <w:jc w:val="center"/>
              <w:rPr>
                <w:rFonts w:ascii="Verdana" w:hAnsi="Verdana"/>
                <w:b/>
                <w:bCs/>
                <w:sz w:val="24"/>
                <w:lang w:val="en-GB"/>
              </w:rPr>
            </w:pPr>
            <w:r w:rsidRPr="008277E4">
              <w:rPr>
                <w:rFonts w:ascii="Verdana" w:hAnsi="Verdana"/>
                <w:b/>
                <w:bCs/>
                <w:sz w:val="24"/>
                <w:szCs w:val="22"/>
                <w:lang w:val="en-GB"/>
              </w:rPr>
              <w:lastRenderedPageBreak/>
              <w:t>European Context</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 xml:space="preserve">Council of Europe, Convention for the Protection of Human Rights and Fundamental Freedoms, 1950. </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Council of Europe, European Social Charter, 1961.</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Treaty of Maastricht on European Union, 1992.</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Council of Europe. Recommendation 1203 (1993) on Gypsies in Europe.</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 xml:space="preserve">Council of Europe. Framework Convention for the Protection of National Minorities, 1995. </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 xml:space="preserve">European Parliament, Council of Europe and European Commission. Charter of Fundamental Rights of the European Union, 2000, implemented by the Treaty on the Functioning of the European Union (2009). </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European Parliament, Council of Europe. Directive 2000/43/EC of 29 June 2000 implementing the principle of equal treatment between persons irrespective of racial or ethnic origin.</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OSCE, Organisation for Security and Co-operation in Europe. Report on the situation of Roma and Sinti in the OSCE Area, 2000.</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 xml:space="preserve">Council of Europe. Recommendation 1503 [1] of the Parliamentary Assembly regarding Health conditions of migrants and refugees in Europe, 2001. </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GB"/>
              </w:rPr>
              <w:t xml:space="preserve">Council of Europe. </w:t>
            </w:r>
            <w:r w:rsidRPr="008277E4">
              <w:rPr>
                <w:rFonts w:ascii="Verdana" w:hAnsi="Verdana"/>
                <w:bCs/>
                <w:sz w:val="20"/>
                <w:szCs w:val="20"/>
                <w:lang w:val="en-US"/>
              </w:rPr>
              <w:t>Recommendation Rec(2001)12</w:t>
            </w:r>
            <w:r w:rsidRPr="008277E4">
              <w:rPr>
                <w:rFonts w:ascii="Verdana" w:hAnsi="Verdana"/>
                <w:bCs/>
                <w:sz w:val="20"/>
                <w:szCs w:val="20"/>
                <w:lang w:val="en-GB"/>
              </w:rPr>
              <w:t xml:space="preserve"> of the Committee of Ministers to member states on the adaptation of health care services to the demand  for health care and health care services of people in marginal situations, 2001.</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GB"/>
              </w:rPr>
              <w:t>Council of Europe. Recommendation 1503(2001). Health conditions of migrants and refugees in Europe, 2001.</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Council of Europe. Bratislava Declaration on Health, Human Rights and Migration, 2007.</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European Parliament, Council of Europe Directive 2003/9/EC of 27 January 2003 laying down minimum standards for the reception of asylum seekers, 2003.</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Council of Europe. Resolution 1509(2006) on Human Rights of irregular migrants, 2006.</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Council of Europe. Recommendation Rec2006(18) of the Committee of Ministers to Member States on health services in a multicultural society, 2006.</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 xml:space="preserve">European Parliament, Council of Europe. Directive 2008/115/EC of 16 December 2008 on common standards and procedures in Member States for returning illegally staying third-country nationals, 2008. </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GB"/>
              </w:rPr>
              <w:t>WHO, World Health Organization – Europe. Tallin Charter, Health Systems for Health and Wealth, 2008.</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GB"/>
              </w:rPr>
              <w:t>European Commission. EC Communication Solidarity in health: reducing health inequalities in the EU, 2009.</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US"/>
              </w:rPr>
            </w:pPr>
            <w:r w:rsidRPr="008277E4">
              <w:rPr>
                <w:rFonts w:ascii="Verdana" w:hAnsi="Verdana"/>
                <w:bCs/>
                <w:sz w:val="20"/>
                <w:szCs w:val="20"/>
                <w:lang w:val="en-US"/>
              </w:rPr>
              <w:t xml:space="preserve">European Commission, EC Roma Internal Task Force, 2010. </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GB"/>
              </w:rPr>
              <w:t>Council of Europe. Recommendation CM/Rec(2011)13 of the Committee of Ministers to member states on mobility, migration and access to health care. </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US"/>
              </w:rPr>
            </w:pPr>
            <w:r w:rsidRPr="008277E4">
              <w:rPr>
                <w:rFonts w:ascii="Verdana" w:hAnsi="Verdana"/>
                <w:bCs/>
                <w:sz w:val="20"/>
                <w:szCs w:val="20"/>
                <w:lang w:val="en-GB"/>
              </w:rPr>
              <w:t>Council of the European Union. EU Framework for National Roma Integration Strategies, 2011.</w:t>
            </w:r>
          </w:p>
        </w:tc>
      </w:tr>
      <w:tr w:rsidR="001663A0" w:rsidRPr="00F906FB" w:rsidTr="00AD05FE">
        <w:tc>
          <w:tcPr>
            <w:tcW w:w="8644" w:type="dxa"/>
            <w:vAlign w:val="center"/>
          </w:tcPr>
          <w:p w:rsidR="001663A0" w:rsidRPr="008277E4" w:rsidRDefault="001663A0" w:rsidP="00AD05FE">
            <w:pPr>
              <w:jc w:val="both"/>
              <w:rPr>
                <w:rFonts w:ascii="Verdana" w:hAnsi="Verdana"/>
                <w:bCs/>
                <w:sz w:val="20"/>
                <w:szCs w:val="20"/>
                <w:lang w:val="en-GB"/>
              </w:rPr>
            </w:pPr>
            <w:r w:rsidRPr="008277E4">
              <w:rPr>
                <w:rFonts w:ascii="Verdana" w:hAnsi="Verdana"/>
                <w:bCs/>
                <w:sz w:val="20"/>
                <w:szCs w:val="20"/>
                <w:lang w:val="en-US"/>
              </w:rPr>
              <w:t>European Parliament. European Parliament Resolution of 8 March 2011 on Reducing Health Inequalities in the EU, 2011.</w:t>
            </w:r>
          </w:p>
        </w:tc>
      </w:tr>
      <w:tr w:rsidR="001663A0" w:rsidRPr="008277E4" w:rsidTr="00AD05FE">
        <w:tc>
          <w:tcPr>
            <w:tcW w:w="8644" w:type="dxa"/>
            <w:vAlign w:val="center"/>
          </w:tcPr>
          <w:p w:rsidR="001663A0" w:rsidRPr="008277E4" w:rsidRDefault="001663A0" w:rsidP="00AD05FE">
            <w:pPr>
              <w:jc w:val="both"/>
              <w:rPr>
                <w:rFonts w:ascii="Verdana" w:hAnsi="Verdana"/>
                <w:bCs/>
                <w:sz w:val="20"/>
                <w:szCs w:val="20"/>
              </w:rPr>
            </w:pPr>
            <w:r w:rsidRPr="008277E4">
              <w:rPr>
                <w:rFonts w:ascii="Verdana" w:hAnsi="Verdana"/>
                <w:bCs/>
                <w:sz w:val="20"/>
                <w:szCs w:val="20"/>
                <w:lang w:val="en-GB"/>
              </w:rPr>
              <w:t xml:space="preserve">EU, European Commission. National Roma Integration Strategies, 2012. </w:t>
            </w:r>
          </w:p>
        </w:tc>
      </w:tr>
    </w:tbl>
    <w:p w:rsidR="001663A0" w:rsidRPr="008277E4" w:rsidRDefault="001663A0" w:rsidP="00BA67A6">
      <w:pPr>
        <w:spacing w:line="360" w:lineRule="auto"/>
        <w:ind w:left="360"/>
        <w:jc w:val="both"/>
        <w:rPr>
          <w:rFonts w:ascii="Verdana" w:hAnsi="Verdana"/>
          <w:b/>
          <w:bCs/>
          <w:color w:val="000080"/>
          <w:sz w:val="24"/>
          <w:szCs w:val="28"/>
          <w:lang w:val="en-GB"/>
        </w:rPr>
      </w:pPr>
    </w:p>
    <w:p w:rsidR="001663A0" w:rsidRPr="008277E4" w:rsidRDefault="001663A0">
      <w:pPr>
        <w:rPr>
          <w:rFonts w:ascii="Verdana" w:hAnsi="Verdana"/>
          <w:b/>
          <w:bCs/>
          <w:color w:val="000080"/>
          <w:sz w:val="24"/>
          <w:szCs w:val="28"/>
          <w:lang w:val="en-GB"/>
        </w:rPr>
      </w:pPr>
      <w:r w:rsidRPr="008277E4">
        <w:rPr>
          <w:rFonts w:ascii="Verdana" w:hAnsi="Verdana"/>
          <w:b/>
          <w:bCs/>
          <w:color w:val="000080"/>
          <w:sz w:val="24"/>
          <w:szCs w:val="28"/>
          <w:lang w:val="en-GB"/>
        </w:rPr>
        <w:br w:type="page"/>
      </w:r>
    </w:p>
    <w:p w:rsidR="001663A0" w:rsidRPr="008277E4" w:rsidRDefault="001663A0" w:rsidP="0015227F">
      <w:pPr>
        <w:numPr>
          <w:ilvl w:val="0"/>
          <w:numId w:val="13"/>
        </w:numPr>
        <w:spacing w:line="360" w:lineRule="auto"/>
        <w:jc w:val="both"/>
        <w:rPr>
          <w:rFonts w:ascii="Verdana" w:hAnsi="Verdana"/>
          <w:b/>
          <w:bCs/>
          <w:color w:val="000080"/>
          <w:sz w:val="24"/>
          <w:szCs w:val="28"/>
          <w:lang w:val="en-GB"/>
        </w:rPr>
      </w:pPr>
      <w:r w:rsidRPr="008277E4">
        <w:rPr>
          <w:rFonts w:ascii="Verdana" w:hAnsi="Verdana"/>
          <w:b/>
          <w:bCs/>
          <w:color w:val="000080"/>
          <w:sz w:val="24"/>
          <w:szCs w:val="28"/>
          <w:lang w:val="en-GB"/>
        </w:rPr>
        <w:t>International and European Human Rights Framework: Accessibility and Quality of Health Care</w:t>
      </w:r>
    </w:p>
    <w:p w:rsidR="001663A0" w:rsidRPr="008277E4" w:rsidRDefault="001663A0" w:rsidP="0015227F">
      <w:pPr>
        <w:spacing w:line="360" w:lineRule="auto"/>
        <w:ind w:left="720"/>
        <w:jc w:val="both"/>
        <w:rPr>
          <w:rFonts w:ascii="Verdana" w:hAnsi="Verdana"/>
          <w:b/>
          <w:bCs/>
          <w:color w:val="000080"/>
          <w:sz w:val="24"/>
          <w:szCs w:val="28"/>
          <w:lang w:val="en-GB"/>
        </w:rPr>
      </w:pPr>
    </w:p>
    <w:p w:rsidR="001663A0" w:rsidRPr="008277E4" w:rsidRDefault="001663A0" w:rsidP="00C23D14">
      <w:pPr>
        <w:spacing w:line="360" w:lineRule="auto"/>
        <w:jc w:val="both"/>
        <w:rPr>
          <w:rFonts w:ascii="Verdana" w:hAnsi="Verdana"/>
          <w:lang w:val="en-US"/>
        </w:rPr>
      </w:pPr>
      <w:r w:rsidRPr="008277E4">
        <w:rPr>
          <w:rFonts w:ascii="Verdana" w:hAnsi="Verdana"/>
          <w:lang w:val="en-US"/>
        </w:rPr>
        <w:t>Examples of strategic documents related to accessibility and quality of health care, directed to general population, with specific mention of migrants and ethnic minorities:</w:t>
      </w:r>
    </w:p>
    <w:p w:rsidR="001663A0" w:rsidRPr="008277E4" w:rsidRDefault="001663A0" w:rsidP="00C23D14">
      <w:pPr>
        <w:spacing w:line="360" w:lineRule="auto"/>
        <w:jc w:val="both"/>
        <w:rPr>
          <w:rFonts w:ascii="Verdana" w:hAnsi="Verdana"/>
          <w:b/>
          <w:lang w:val="en-US"/>
        </w:rPr>
      </w:pPr>
    </w:p>
    <w:p w:rsidR="001663A0" w:rsidRPr="008277E4" w:rsidRDefault="001663A0" w:rsidP="00C23D14">
      <w:pPr>
        <w:spacing w:line="360" w:lineRule="auto"/>
        <w:jc w:val="both"/>
        <w:rPr>
          <w:rFonts w:ascii="Verdana" w:hAnsi="Verdana"/>
          <w:b/>
          <w:bCs/>
          <w:sz w:val="24"/>
          <w:szCs w:val="22"/>
          <w:lang w:val="en-GB"/>
        </w:rPr>
      </w:pPr>
      <w:r w:rsidRPr="008277E4">
        <w:rPr>
          <w:rFonts w:ascii="Verdana" w:hAnsi="Verdana"/>
          <w:b/>
          <w:lang w:val="en-US"/>
        </w:rPr>
        <w:t>International Covenant on Economic, Social and Cultural Rights (CESCR)</w:t>
      </w:r>
      <w:r w:rsidRPr="008277E4">
        <w:rPr>
          <w:rStyle w:val="Refdenotaalpie"/>
          <w:rFonts w:ascii="Verdana" w:hAnsi="Verdana"/>
          <w:lang w:val="en-US"/>
        </w:rPr>
        <w:footnoteReference w:id="12"/>
      </w:r>
    </w:p>
    <w:p w:rsidR="001663A0" w:rsidRPr="008277E4" w:rsidRDefault="001663A0" w:rsidP="004B3B10">
      <w:pPr>
        <w:ind w:left="567" w:right="567"/>
        <w:jc w:val="both"/>
        <w:rPr>
          <w:rFonts w:ascii="Verdana" w:hAnsi="Verdana"/>
          <w:sz w:val="20"/>
          <w:szCs w:val="20"/>
          <w:lang w:val="en-US"/>
        </w:rPr>
      </w:pPr>
      <w:r w:rsidRPr="008277E4">
        <w:rPr>
          <w:rFonts w:ascii="Verdana" w:hAnsi="Verdana"/>
          <w:sz w:val="20"/>
          <w:szCs w:val="20"/>
          <w:lang w:val="en-US"/>
        </w:rPr>
        <w:t xml:space="preserve">Art. 12.1. The States Parties to the present Covenant recognize the right of everyone to the enjoyment of the highest attainable standard of physical and mental health. </w:t>
      </w:r>
    </w:p>
    <w:p w:rsidR="001663A0" w:rsidRPr="008277E4" w:rsidRDefault="001663A0" w:rsidP="00C23D14">
      <w:pPr>
        <w:spacing w:line="360" w:lineRule="auto"/>
        <w:jc w:val="both"/>
        <w:rPr>
          <w:rFonts w:ascii="Verdana" w:hAnsi="Verdana"/>
          <w:b/>
          <w:bCs/>
          <w:sz w:val="24"/>
          <w:szCs w:val="22"/>
          <w:lang w:val="en-US"/>
        </w:rPr>
      </w:pPr>
    </w:p>
    <w:p w:rsidR="001663A0" w:rsidRPr="008277E4" w:rsidRDefault="001663A0" w:rsidP="00C23D14">
      <w:pPr>
        <w:spacing w:line="360" w:lineRule="auto"/>
        <w:jc w:val="both"/>
        <w:rPr>
          <w:rFonts w:ascii="Verdana" w:hAnsi="Verdana"/>
          <w:b/>
          <w:bCs/>
          <w:sz w:val="24"/>
          <w:szCs w:val="22"/>
          <w:lang w:val="en-US"/>
        </w:rPr>
      </w:pPr>
      <w:r w:rsidRPr="008277E4">
        <w:rPr>
          <w:rFonts w:ascii="Verdana" w:hAnsi="Verdana"/>
          <w:b/>
          <w:lang w:val="en-US"/>
        </w:rPr>
        <w:t>Committee on Economic, Social and Cultural Rights,</w:t>
      </w:r>
      <w:r w:rsidRPr="008277E4">
        <w:rPr>
          <w:rFonts w:ascii="Verdana" w:hAnsi="Verdana"/>
          <w:lang w:val="en-US"/>
        </w:rPr>
        <w:t xml:space="preserve"> </w:t>
      </w:r>
      <w:r w:rsidRPr="008277E4">
        <w:rPr>
          <w:rFonts w:ascii="Verdana" w:hAnsi="Verdana"/>
          <w:b/>
          <w:lang w:val="en-US"/>
        </w:rPr>
        <w:t>General Comment Nº 14 (2000), The right to the highest attainable standard of health</w:t>
      </w:r>
      <w:r w:rsidRPr="008277E4">
        <w:rPr>
          <w:rStyle w:val="Refdenotaalpie"/>
          <w:rFonts w:ascii="Verdana" w:hAnsi="Verdana"/>
          <w:lang w:val="en-US"/>
        </w:rPr>
        <w:footnoteReference w:id="13"/>
      </w:r>
    </w:p>
    <w:p w:rsidR="001663A0" w:rsidRPr="008277E4" w:rsidRDefault="001663A0" w:rsidP="004B3B10">
      <w:pPr>
        <w:ind w:left="567" w:right="567"/>
        <w:jc w:val="both"/>
        <w:rPr>
          <w:rFonts w:ascii="Verdana" w:hAnsi="Verdana"/>
          <w:bCs/>
          <w:iCs/>
          <w:sz w:val="20"/>
          <w:szCs w:val="20"/>
          <w:lang w:val="en-GB"/>
        </w:rPr>
      </w:pPr>
      <w:r w:rsidRPr="008277E4">
        <w:rPr>
          <w:rFonts w:ascii="Verdana" w:hAnsi="Verdana"/>
          <w:bCs/>
          <w:iCs/>
          <w:sz w:val="20"/>
          <w:szCs w:val="20"/>
          <w:lang w:val="en-GB"/>
        </w:rPr>
        <w:t>All health facilities, goods and services must be respectful of medical ethics and culturally appropriate, i.e. respectful of the culture of individuals, minorities, peoples and communities, sensitive to gender and life-cycle requirements, as well as being designed to respect confidentiality and improve the health status of those concerned.</w:t>
      </w:r>
    </w:p>
    <w:p w:rsidR="001663A0" w:rsidRPr="008277E4" w:rsidRDefault="001663A0" w:rsidP="004B3B10">
      <w:pPr>
        <w:ind w:left="567" w:right="567"/>
        <w:jc w:val="both"/>
        <w:rPr>
          <w:rFonts w:ascii="Verdana" w:hAnsi="Verdana"/>
          <w:bCs/>
          <w:iCs/>
          <w:sz w:val="20"/>
          <w:szCs w:val="20"/>
          <w:lang w:val="en-GB"/>
        </w:rPr>
      </w:pPr>
    </w:p>
    <w:p w:rsidR="001663A0" w:rsidRPr="008277E4" w:rsidRDefault="001663A0" w:rsidP="004B3B10">
      <w:pPr>
        <w:ind w:left="567" w:right="567"/>
        <w:jc w:val="both"/>
        <w:rPr>
          <w:rFonts w:ascii="Verdana" w:hAnsi="Verdana"/>
          <w:bCs/>
          <w:iCs/>
          <w:sz w:val="20"/>
          <w:szCs w:val="20"/>
          <w:lang w:val="en-GB"/>
        </w:rPr>
      </w:pPr>
      <w:r w:rsidRPr="008277E4">
        <w:rPr>
          <w:rFonts w:ascii="Verdana" w:hAnsi="Verdana"/>
          <w:iCs/>
          <w:sz w:val="20"/>
          <w:lang w:val="en-GB"/>
        </w:rPr>
        <w:t xml:space="preserve">In particular, States are under the obligation to respect the right to health by, inter alia, </w:t>
      </w:r>
      <w:r w:rsidRPr="008277E4">
        <w:rPr>
          <w:rFonts w:ascii="Verdana" w:hAnsi="Verdana"/>
          <w:bCs/>
          <w:iCs/>
          <w:sz w:val="20"/>
          <w:lang w:val="en-GB"/>
        </w:rPr>
        <w:t>refraining from denying or limiting equal access for all persons</w:t>
      </w:r>
      <w:r w:rsidRPr="008277E4">
        <w:rPr>
          <w:rFonts w:ascii="Verdana" w:hAnsi="Verdana"/>
          <w:iCs/>
          <w:sz w:val="20"/>
          <w:lang w:val="en-GB"/>
        </w:rPr>
        <w:t xml:space="preserve">, including prisoners or detainees, </w:t>
      </w:r>
      <w:r w:rsidRPr="008277E4">
        <w:rPr>
          <w:rFonts w:ascii="Verdana" w:hAnsi="Verdana"/>
          <w:bCs/>
          <w:iCs/>
          <w:sz w:val="20"/>
          <w:lang w:val="en-GB"/>
        </w:rPr>
        <w:t>minorities, asylum seekers and illegal immigrants</w:t>
      </w:r>
      <w:r w:rsidRPr="008277E4">
        <w:rPr>
          <w:rFonts w:ascii="Verdana" w:hAnsi="Verdana"/>
          <w:iCs/>
          <w:sz w:val="20"/>
          <w:lang w:val="en-GB"/>
        </w:rPr>
        <w:t>, to preventive, curative and palliative health services; abstaining from enforcing discriminatory practices as a State policy; and abstaining from imposing discriminatory practices relating to women’s health status and needs.</w:t>
      </w:r>
    </w:p>
    <w:p w:rsidR="001663A0" w:rsidRPr="008277E4" w:rsidRDefault="001663A0" w:rsidP="00C23D14">
      <w:pPr>
        <w:spacing w:line="360" w:lineRule="auto"/>
        <w:jc w:val="both"/>
        <w:rPr>
          <w:rFonts w:ascii="Verdana" w:hAnsi="Verdana"/>
          <w:b/>
          <w:bCs/>
          <w:sz w:val="24"/>
          <w:szCs w:val="22"/>
          <w:lang w:val="en-GB"/>
        </w:rPr>
      </w:pPr>
    </w:p>
    <w:p w:rsidR="001663A0" w:rsidRDefault="001663A0" w:rsidP="00C23D14">
      <w:pPr>
        <w:spacing w:line="360" w:lineRule="auto"/>
        <w:jc w:val="both"/>
        <w:rPr>
          <w:rFonts w:ascii="Verdana" w:hAnsi="Verdana"/>
          <w:b/>
          <w:bCs/>
          <w:sz w:val="24"/>
          <w:szCs w:val="22"/>
          <w:lang w:val="en-GB"/>
        </w:rPr>
      </w:pPr>
    </w:p>
    <w:p w:rsidR="00F906FB" w:rsidRDefault="00F906FB" w:rsidP="00C23D14">
      <w:pPr>
        <w:spacing w:line="360" w:lineRule="auto"/>
        <w:jc w:val="both"/>
        <w:rPr>
          <w:rFonts w:ascii="Verdana" w:hAnsi="Verdana"/>
          <w:b/>
          <w:bCs/>
          <w:sz w:val="24"/>
          <w:szCs w:val="22"/>
          <w:lang w:val="en-GB"/>
        </w:rPr>
      </w:pPr>
    </w:p>
    <w:p w:rsidR="00F906FB" w:rsidRDefault="00F906FB" w:rsidP="00C23D14">
      <w:pPr>
        <w:spacing w:line="360" w:lineRule="auto"/>
        <w:jc w:val="both"/>
        <w:rPr>
          <w:rFonts w:ascii="Verdana" w:hAnsi="Verdana"/>
          <w:b/>
          <w:bCs/>
          <w:sz w:val="24"/>
          <w:szCs w:val="22"/>
          <w:lang w:val="en-GB"/>
        </w:rPr>
      </w:pPr>
    </w:p>
    <w:p w:rsidR="00F906FB" w:rsidRDefault="00F906FB" w:rsidP="00C23D14">
      <w:pPr>
        <w:spacing w:line="360" w:lineRule="auto"/>
        <w:jc w:val="both"/>
        <w:rPr>
          <w:rFonts w:ascii="Verdana" w:hAnsi="Verdana"/>
          <w:b/>
          <w:bCs/>
          <w:sz w:val="24"/>
          <w:szCs w:val="22"/>
          <w:lang w:val="en-GB"/>
        </w:rPr>
      </w:pPr>
    </w:p>
    <w:p w:rsidR="00F906FB" w:rsidRPr="008277E4" w:rsidRDefault="00F906FB" w:rsidP="00C23D14">
      <w:pPr>
        <w:spacing w:line="360" w:lineRule="auto"/>
        <w:jc w:val="both"/>
        <w:rPr>
          <w:rFonts w:ascii="Verdana" w:hAnsi="Verdana"/>
          <w:b/>
          <w:bCs/>
          <w:sz w:val="24"/>
          <w:szCs w:val="22"/>
          <w:lang w:val="en-GB"/>
        </w:rPr>
      </w:pPr>
    </w:p>
    <w:p w:rsidR="001663A0" w:rsidRPr="008277E4" w:rsidRDefault="001663A0" w:rsidP="00BA67A6">
      <w:pPr>
        <w:numPr>
          <w:ilvl w:val="0"/>
          <w:numId w:val="13"/>
        </w:numPr>
        <w:spacing w:line="360" w:lineRule="auto"/>
        <w:jc w:val="both"/>
        <w:rPr>
          <w:rFonts w:ascii="Verdana" w:hAnsi="Verdana"/>
          <w:b/>
          <w:bCs/>
          <w:color w:val="000080"/>
          <w:sz w:val="24"/>
          <w:szCs w:val="28"/>
          <w:lang w:val="en-GB"/>
        </w:rPr>
      </w:pPr>
      <w:r w:rsidRPr="008277E4">
        <w:rPr>
          <w:rFonts w:ascii="Verdana" w:hAnsi="Verdana"/>
          <w:b/>
          <w:bCs/>
          <w:color w:val="000080"/>
          <w:sz w:val="24"/>
          <w:szCs w:val="28"/>
          <w:lang w:val="en-GB"/>
        </w:rPr>
        <w:lastRenderedPageBreak/>
        <w:t>International and European Human Rights Framework: Migration</w:t>
      </w:r>
    </w:p>
    <w:p w:rsidR="001663A0" w:rsidRPr="008277E4" w:rsidRDefault="001663A0" w:rsidP="00C23D14">
      <w:pPr>
        <w:spacing w:line="360" w:lineRule="auto"/>
        <w:jc w:val="both"/>
        <w:rPr>
          <w:rFonts w:ascii="Verdana" w:hAnsi="Verdana"/>
          <w:lang w:val="en-US"/>
        </w:rPr>
      </w:pPr>
      <w:r w:rsidRPr="008277E4">
        <w:rPr>
          <w:rFonts w:ascii="Verdana" w:hAnsi="Verdana"/>
          <w:lang w:val="en-US"/>
        </w:rPr>
        <w:t xml:space="preserve">Examples of strategic documents focused on migrant populations. </w:t>
      </w:r>
    </w:p>
    <w:p w:rsidR="001663A0" w:rsidRPr="008277E4" w:rsidRDefault="001663A0" w:rsidP="00C23D14">
      <w:pPr>
        <w:spacing w:line="360" w:lineRule="auto"/>
        <w:jc w:val="both"/>
        <w:rPr>
          <w:rFonts w:ascii="Verdana" w:hAnsi="Verdana"/>
          <w:b/>
          <w:lang w:val="en-US"/>
        </w:rPr>
      </w:pPr>
    </w:p>
    <w:p w:rsidR="001663A0" w:rsidRPr="008277E4" w:rsidRDefault="001663A0" w:rsidP="00C23D14">
      <w:pPr>
        <w:spacing w:line="360" w:lineRule="auto"/>
        <w:jc w:val="both"/>
        <w:rPr>
          <w:rFonts w:ascii="Verdana" w:hAnsi="Verdana"/>
          <w:b/>
          <w:lang w:val="en-US"/>
        </w:rPr>
      </w:pPr>
      <w:r w:rsidRPr="008277E4">
        <w:rPr>
          <w:rFonts w:ascii="Verdana" w:hAnsi="Verdana"/>
          <w:b/>
          <w:lang w:val="en-US"/>
        </w:rPr>
        <w:t>International Convention on the Protection of the Rights of All Migrant Workers and Members of Their Families</w:t>
      </w:r>
      <w:r w:rsidRPr="008277E4">
        <w:rPr>
          <w:rStyle w:val="Refdenotaalpie"/>
          <w:rFonts w:ascii="Verdana" w:hAnsi="Verdana"/>
          <w:lang w:val="en-US"/>
        </w:rPr>
        <w:footnoteReference w:id="14"/>
      </w:r>
    </w:p>
    <w:p w:rsidR="001663A0" w:rsidRPr="008277E4" w:rsidRDefault="001663A0" w:rsidP="004B3B10">
      <w:pPr>
        <w:ind w:left="567" w:right="567"/>
        <w:jc w:val="both"/>
        <w:rPr>
          <w:rFonts w:ascii="Verdana" w:hAnsi="Verdana"/>
          <w:b/>
          <w:bCs/>
          <w:sz w:val="20"/>
          <w:szCs w:val="20"/>
          <w:lang w:val="en-GB"/>
        </w:rPr>
      </w:pPr>
      <w:r w:rsidRPr="008277E4">
        <w:rPr>
          <w:rFonts w:ascii="Verdana" w:hAnsi="Verdana"/>
          <w:sz w:val="20"/>
          <w:szCs w:val="20"/>
          <w:lang w:val="en-US"/>
        </w:rPr>
        <w:t>Migrant workers and members of their families shall have the right to receive any medical care that is urgently required for the preservation of their life or the avoidance of irreparable harm to their health on the basis of equality of treatment with nationals of the State concerned. Such emergency medical care shall not be refused them by reason of any irregularity with regard to stay or employment.</w:t>
      </w:r>
    </w:p>
    <w:p w:rsidR="001663A0" w:rsidRPr="008277E4" w:rsidRDefault="001663A0" w:rsidP="00C23D14">
      <w:pPr>
        <w:spacing w:line="360" w:lineRule="auto"/>
        <w:jc w:val="both"/>
        <w:rPr>
          <w:rFonts w:ascii="Verdana" w:hAnsi="Verdana"/>
          <w:b/>
          <w:bCs/>
          <w:color w:val="000080"/>
          <w:sz w:val="24"/>
          <w:szCs w:val="28"/>
          <w:lang w:val="en-GB"/>
        </w:rPr>
      </w:pPr>
    </w:p>
    <w:p w:rsidR="001663A0" w:rsidRPr="008277E4" w:rsidRDefault="001663A0" w:rsidP="00C23D14">
      <w:pPr>
        <w:spacing w:line="360" w:lineRule="auto"/>
        <w:jc w:val="both"/>
        <w:rPr>
          <w:rFonts w:ascii="Verdana" w:hAnsi="Verdana"/>
          <w:b/>
          <w:lang w:val="en-US"/>
        </w:rPr>
      </w:pPr>
      <w:r w:rsidRPr="008277E4">
        <w:rPr>
          <w:rFonts w:ascii="Verdana" w:hAnsi="Verdana"/>
          <w:b/>
          <w:lang w:val="en-US"/>
        </w:rPr>
        <w:t>WHA 61.17 Health of Migrants</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The Sixty-first World Health Assembly, (…)</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CALLS UPON Member States:</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(1) to promote migrant-sensitive health policies;</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 xml:space="preserve">(2) to promote equitable access to health promotion, disease prevention and care for migrants, subject to national laws and practice, without discrimination on the basis of gender, age, religion, nationality or race; </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(3) to establish health information systems in order to assess and analyse trends in migrants’ health, disaggregating health information by relevant categories;</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(4) to devise mechanisms for improving the health of all populations, including migrants, in particular through identifying and filling gaps in health service delivery;</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(5) to gather, document and share information and best practices for meeting migrants’ health needs in countries of origin or return, transit and destination;</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 xml:space="preserve">(6) to raise health service providers’ and professionals’ cultural and gender sensitivity to migrants’ health issues; </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(7) to train health professionals to deal with the health issues associated with population movements;</w:t>
      </w:r>
    </w:p>
    <w:p w:rsidR="001663A0" w:rsidRPr="008277E4" w:rsidRDefault="001663A0" w:rsidP="004B3B10">
      <w:pPr>
        <w:ind w:left="567" w:right="567"/>
        <w:jc w:val="both"/>
        <w:rPr>
          <w:rFonts w:ascii="Verdana" w:hAnsi="Verdana"/>
          <w:sz w:val="20"/>
          <w:lang w:val="en-GB"/>
        </w:rPr>
      </w:pPr>
      <w:r w:rsidRPr="008277E4">
        <w:rPr>
          <w:rFonts w:ascii="Verdana" w:hAnsi="Verdana"/>
          <w:sz w:val="20"/>
          <w:lang w:val="en-GB"/>
        </w:rPr>
        <w:t>(8) to promote bilateral and multilateral cooperation on migrants’ health among countries involved in the whole migratory process;</w:t>
      </w:r>
    </w:p>
    <w:p w:rsidR="001663A0" w:rsidRPr="008277E4" w:rsidRDefault="001663A0" w:rsidP="004B3B10">
      <w:pPr>
        <w:ind w:left="567" w:right="567"/>
        <w:jc w:val="both"/>
        <w:rPr>
          <w:rFonts w:ascii="Verdana" w:hAnsi="Verdana"/>
          <w:sz w:val="20"/>
          <w:lang w:val="en-US"/>
        </w:rPr>
      </w:pPr>
      <w:r w:rsidRPr="008277E4">
        <w:rPr>
          <w:rFonts w:ascii="Verdana" w:hAnsi="Verdana"/>
          <w:sz w:val="20"/>
          <w:lang w:val="en-GB"/>
        </w:rPr>
        <w:t xml:space="preserve">(9) to contribute to the reduction of the global deficit of health professionals and its consequences on the sustainability of health systems and the attainment of the Millennium Development Goals; </w:t>
      </w:r>
    </w:p>
    <w:p w:rsidR="001663A0" w:rsidRDefault="001663A0" w:rsidP="004B3B10">
      <w:pPr>
        <w:jc w:val="both"/>
        <w:rPr>
          <w:rFonts w:ascii="Verdana" w:hAnsi="Verdana"/>
          <w:i/>
          <w:lang w:val="en-US"/>
        </w:rPr>
      </w:pPr>
    </w:p>
    <w:p w:rsidR="00F906FB" w:rsidRDefault="00F906FB" w:rsidP="004B3B10">
      <w:pPr>
        <w:jc w:val="both"/>
        <w:rPr>
          <w:rFonts w:ascii="Verdana" w:hAnsi="Verdana"/>
          <w:i/>
          <w:lang w:val="en-US"/>
        </w:rPr>
      </w:pPr>
    </w:p>
    <w:p w:rsidR="00F906FB" w:rsidRDefault="00F906FB" w:rsidP="004B3B10">
      <w:pPr>
        <w:jc w:val="both"/>
        <w:rPr>
          <w:rFonts w:ascii="Verdana" w:hAnsi="Verdana"/>
          <w:i/>
          <w:lang w:val="en-US"/>
        </w:rPr>
      </w:pPr>
    </w:p>
    <w:p w:rsidR="00F906FB" w:rsidRDefault="00F906FB" w:rsidP="004B3B10">
      <w:pPr>
        <w:jc w:val="both"/>
        <w:rPr>
          <w:rFonts w:ascii="Verdana" w:hAnsi="Verdana"/>
          <w:i/>
          <w:lang w:val="en-US"/>
        </w:rPr>
      </w:pPr>
    </w:p>
    <w:p w:rsidR="00F906FB" w:rsidRDefault="00F906FB" w:rsidP="004B3B10">
      <w:pPr>
        <w:jc w:val="both"/>
        <w:rPr>
          <w:rFonts w:ascii="Verdana" w:hAnsi="Verdana"/>
          <w:i/>
          <w:lang w:val="en-US"/>
        </w:rPr>
      </w:pPr>
    </w:p>
    <w:p w:rsidR="00F906FB" w:rsidRDefault="00F906FB" w:rsidP="004B3B10">
      <w:pPr>
        <w:jc w:val="both"/>
        <w:rPr>
          <w:rFonts w:ascii="Verdana" w:hAnsi="Verdana"/>
          <w:i/>
          <w:lang w:val="en-US"/>
        </w:rPr>
      </w:pPr>
    </w:p>
    <w:p w:rsidR="00F906FB" w:rsidRPr="008277E4" w:rsidRDefault="00F906FB" w:rsidP="004B3B10">
      <w:pPr>
        <w:jc w:val="both"/>
        <w:rPr>
          <w:rFonts w:ascii="Verdana" w:hAnsi="Verdana"/>
          <w:i/>
          <w:lang w:val="en-US"/>
        </w:rPr>
      </w:pPr>
    </w:p>
    <w:p w:rsidR="001663A0" w:rsidRPr="008277E4" w:rsidRDefault="001663A0" w:rsidP="004B3B10">
      <w:pPr>
        <w:jc w:val="both"/>
        <w:rPr>
          <w:rFonts w:ascii="Verdana" w:hAnsi="Verdana"/>
          <w:i/>
          <w:lang w:val="en-US"/>
        </w:rPr>
      </w:pPr>
    </w:p>
    <w:p w:rsidR="001663A0" w:rsidRPr="008277E4" w:rsidRDefault="001663A0" w:rsidP="00BA67A6">
      <w:pPr>
        <w:numPr>
          <w:ilvl w:val="0"/>
          <w:numId w:val="13"/>
        </w:numPr>
        <w:spacing w:line="360" w:lineRule="auto"/>
        <w:jc w:val="both"/>
        <w:rPr>
          <w:rFonts w:ascii="Verdana" w:hAnsi="Verdana"/>
          <w:b/>
          <w:bCs/>
          <w:color w:val="000080"/>
          <w:sz w:val="24"/>
          <w:szCs w:val="28"/>
          <w:lang w:val="en-GB"/>
        </w:rPr>
      </w:pPr>
      <w:r w:rsidRPr="008277E4">
        <w:rPr>
          <w:rFonts w:ascii="Verdana" w:hAnsi="Verdana"/>
          <w:b/>
          <w:bCs/>
          <w:color w:val="000080"/>
          <w:sz w:val="24"/>
          <w:szCs w:val="28"/>
          <w:lang w:val="en-GB"/>
        </w:rPr>
        <w:lastRenderedPageBreak/>
        <w:t>International and European Human Rights Framework: Ethnic Minorities</w:t>
      </w:r>
    </w:p>
    <w:p w:rsidR="00F906FB" w:rsidRDefault="00F906FB" w:rsidP="00C23D14">
      <w:pPr>
        <w:spacing w:line="360" w:lineRule="auto"/>
        <w:jc w:val="both"/>
        <w:rPr>
          <w:rFonts w:ascii="Verdana" w:hAnsi="Verdana"/>
          <w:lang w:val="en-US"/>
        </w:rPr>
      </w:pPr>
    </w:p>
    <w:p w:rsidR="001663A0" w:rsidRPr="00F906FB" w:rsidRDefault="001663A0" w:rsidP="00C23D14">
      <w:pPr>
        <w:spacing w:line="360" w:lineRule="auto"/>
        <w:jc w:val="both"/>
        <w:rPr>
          <w:rFonts w:ascii="Verdana" w:hAnsi="Verdana"/>
          <w:lang w:val="en-US"/>
        </w:rPr>
      </w:pPr>
      <w:r w:rsidRPr="008277E4">
        <w:rPr>
          <w:rFonts w:ascii="Verdana" w:hAnsi="Verdana"/>
          <w:lang w:val="en-US"/>
        </w:rPr>
        <w:t xml:space="preserve">Examples of strategic documents focused on ethnic minorities. </w:t>
      </w:r>
    </w:p>
    <w:p w:rsidR="001663A0" w:rsidRPr="008277E4" w:rsidRDefault="001663A0" w:rsidP="00C23D14">
      <w:pPr>
        <w:spacing w:line="360" w:lineRule="auto"/>
        <w:jc w:val="both"/>
        <w:rPr>
          <w:rFonts w:ascii="Verdana" w:hAnsi="Verdana"/>
          <w:b/>
          <w:lang w:val="en-US"/>
        </w:rPr>
      </w:pPr>
      <w:r w:rsidRPr="008277E4">
        <w:rPr>
          <w:rFonts w:ascii="Verdana" w:hAnsi="Verdana"/>
          <w:b/>
          <w:lang w:val="en-US"/>
        </w:rPr>
        <w:t>International Convention on the Elimination of All Forms of Racial Discrimination</w:t>
      </w:r>
      <w:r w:rsidRPr="008277E4">
        <w:rPr>
          <w:rStyle w:val="Refdenotaalpie"/>
          <w:rFonts w:ascii="Verdana" w:hAnsi="Verdana"/>
          <w:lang w:val="en-US"/>
        </w:rPr>
        <w:footnoteReference w:id="15"/>
      </w:r>
    </w:p>
    <w:p w:rsidR="001663A0" w:rsidRPr="008277E4" w:rsidRDefault="001663A0" w:rsidP="004B3B10">
      <w:pPr>
        <w:ind w:left="567" w:right="567"/>
        <w:jc w:val="both"/>
        <w:rPr>
          <w:rFonts w:ascii="Verdana" w:hAnsi="Verdana"/>
          <w:sz w:val="20"/>
          <w:szCs w:val="22"/>
          <w:lang w:val="en-GB"/>
        </w:rPr>
      </w:pPr>
      <w:r w:rsidRPr="008277E4">
        <w:rPr>
          <w:rFonts w:ascii="Verdana" w:hAnsi="Verdana"/>
          <w:sz w:val="20"/>
          <w:szCs w:val="22"/>
          <w:lang w:val="en-GB"/>
        </w:rPr>
        <w:t xml:space="preserve">Art. 1.1. In this Convention, the term </w:t>
      </w:r>
      <w:r w:rsidRPr="008277E4">
        <w:rPr>
          <w:rFonts w:ascii="Verdana" w:hAnsi="Verdana"/>
          <w:bCs/>
          <w:sz w:val="20"/>
          <w:szCs w:val="22"/>
          <w:lang w:val="en-GB"/>
        </w:rPr>
        <w:t>"racial discrimination"</w:t>
      </w:r>
      <w:r w:rsidRPr="008277E4">
        <w:rPr>
          <w:rFonts w:ascii="Verdana" w:hAnsi="Verdana"/>
          <w:sz w:val="20"/>
          <w:szCs w:val="22"/>
          <w:lang w:val="en-GB"/>
        </w:rPr>
        <w:t xml:space="preserve"> shall mean any </w:t>
      </w:r>
      <w:r w:rsidRPr="008277E4">
        <w:rPr>
          <w:rFonts w:ascii="Verdana" w:hAnsi="Verdana"/>
          <w:bCs/>
          <w:sz w:val="20"/>
          <w:szCs w:val="22"/>
          <w:lang w:val="en-GB"/>
        </w:rPr>
        <w:t>distinction, exclusion, restriction or preference based on race, colour, descent, or national or ethnic origin</w:t>
      </w:r>
      <w:r w:rsidRPr="008277E4">
        <w:rPr>
          <w:rFonts w:ascii="Verdana" w:hAnsi="Verdana"/>
          <w:sz w:val="20"/>
          <w:szCs w:val="22"/>
          <w:lang w:val="en-GB"/>
        </w:rPr>
        <w:t xml:space="preserve"> which has the purpose or effect of nullifying or impairing the recognition, enjoyment or exercise, on an equal footing, of human rights and fundamental freedoms in the political, economic, social, cultural or any other field of public life. (…)</w:t>
      </w:r>
    </w:p>
    <w:p w:rsidR="001663A0" w:rsidRPr="008277E4" w:rsidRDefault="001663A0" w:rsidP="004B3B10">
      <w:pPr>
        <w:ind w:left="567" w:right="567"/>
        <w:jc w:val="both"/>
        <w:rPr>
          <w:rFonts w:ascii="Verdana" w:hAnsi="Verdana"/>
          <w:sz w:val="20"/>
          <w:szCs w:val="22"/>
          <w:lang w:val="en-GB"/>
        </w:rPr>
      </w:pPr>
      <w:r w:rsidRPr="008277E4">
        <w:rPr>
          <w:rFonts w:ascii="Verdana" w:hAnsi="Verdana"/>
          <w:sz w:val="20"/>
          <w:szCs w:val="22"/>
          <w:lang w:val="en-GB"/>
        </w:rPr>
        <w:t xml:space="preserve">Art. 2.1. States Parties </w:t>
      </w:r>
      <w:r w:rsidRPr="008277E4">
        <w:rPr>
          <w:rFonts w:ascii="Verdana" w:hAnsi="Verdana"/>
          <w:bCs/>
          <w:sz w:val="20"/>
          <w:szCs w:val="22"/>
          <w:lang w:val="en-GB"/>
        </w:rPr>
        <w:t>condemn racial discrimination</w:t>
      </w:r>
      <w:r w:rsidRPr="008277E4">
        <w:rPr>
          <w:rFonts w:ascii="Verdana" w:hAnsi="Verdana"/>
          <w:sz w:val="20"/>
          <w:szCs w:val="22"/>
          <w:lang w:val="en-GB"/>
        </w:rPr>
        <w:t xml:space="preserve"> and undertake to pursue by all appropriate means and without delay a policy of eliminating racial discrimination in all its forms and promoting understanding among all races, and, to this end: (a) Each State Party undertakes to engage in no act or practice of racial discrimination against persons, groups of persons or institutions and to en sure that all public authorities and public institutions, national and local, shall act in conformity with this obligation; (…)</w:t>
      </w:r>
    </w:p>
    <w:p w:rsidR="001663A0" w:rsidRPr="008277E4" w:rsidRDefault="001663A0" w:rsidP="004B3B10">
      <w:pPr>
        <w:ind w:left="567" w:right="567"/>
        <w:jc w:val="both"/>
        <w:rPr>
          <w:rFonts w:ascii="Verdana" w:hAnsi="Verdana"/>
          <w:sz w:val="20"/>
          <w:szCs w:val="22"/>
          <w:lang w:val="en-GB"/>
        </w:rPr>
      </w:pPr>
      <w:r w:rsidRPr="008277E4">
        <w:rPr>
          <w:rFonts w:ascii="Verdana" w:hAnsi="Verdana"/>
          <w:sz w:val="20"/>
          <w:szCs w:val="22"/>
          <w:lang w:val="en-GB"/>
        </w:rPr>
        <w:t xml:space="preserve">Art. 5 </w:t>
      </w:r>
    </w:p>
    <w:p w:rsidR="001663A0" w:rsidRPr="008277E4" w:rsidRDefault="001663A0" w:rsidP="004B3B10">
      <w:pPr>
        <w:ind w:left="567" w:right="567"/>
        <w:jc w:val="both"/>
        <w:rPr>
          <w:rFonts w:ascii="Verdana" w:hAnsi="Verdana"/>
          <w:sz w:val="20"/>
          <w:szCs w:val="22"/>
          <w:lang w:val="en-GB"/>
        </w:rPr>
      </w:pPr>
      <w:r w:rsidRPr="008277E4">
        <w:rPr>
          <w:rFonts w:ascii="Verdana" w:hAnsi="Verdana"/>
          <w:sz w:val="20"/>
          <w:szCs w:val="22"/>
          <w:lang w:val="en-GB"/>
        </w:rPr>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enjoyment of the following rights: (…)</w:t>
      </w:r>
    </w:p>
    <w:p w:rsidR="001663A0" w:rsidRPr="008277E4" w:rsidRDefault="001663A0" w:rsidP="004B3B10">
      <w:pPr>
        <w:ind w:left="567" w:right="567"/>
        <w:jc w:val="both"/>
        <w:rPr>
          <w:rFonts w:ascii="Verdana" w:hAnsi="Verdana"/>
          <w:sz w:val="20"/>
          <w:szCs w:val="22"/>
          <w:lang w:val="en-GB"/>
        </w:rPr>
      </w:pPr>
      <w:r w:rsidRPr="008277E4">
        <w:rPr>
          <w:rFonts w:ascii="Verdana" w:hAnsi="Verdana"/>
          <w:sz w:val="20"/>
          <w:szCs w:val="22"/>
          <w:lang w:val="en-GB"/>
        </w:rPr>
        <w:t xml:space="preserve">(iv) The </w:t>
      </w:r>
      <w:r w:rsidRPr="008277E4">
        <w:rPr>
          <w:rFonts w:ascii="Verdana" w:hAnsi="Verdana"/>
          <w:bCs/>
          <w:sz w:val="20"/>
          <w:szCs w:val="22"/>
          <w:lang w:val="en-GB"/>
        </w:rPr>
        <w:t>right to public health, medical care, social security and social services;</w:t>
      </w:r>
      <w:r w:rsidRPr="008277E4">
        <w:rPr>
          <w:rStyle w:val="Nmerodepgina"/>
          <w:rFonts w:ascii="Verdana" w:hAnsi="Verdana"/>
          <w:lang w:val="en-US"/>
        </w:rPr>
        <w:t xml:space="preserve"> </w:t>
      </w:r>
    </w:p>
    <w:p w:rsidR="001663A0" w:rsidRPr="008277E4" w:rsidRDefault="001663A0" w:rsidP="00C23D14">
      <w:pPr>
        <w:spacing w:line="360" w:lineRule="auto"/>
        <w:jc w:val="both"/>
        <w:rPr>
          <w:rFonts w:ascii="Verdana" w:hAnsi="Verdana"/>
          <w:b/>
          <w:lang w:val="en-GB"/>
        </w:rPr>
      </w:pPr>
    </w:p>
    <w:p w:rsidR="001663A0" w:rsidRPr="008277E4" w:rsidRDefault="001663A0" w:rsidP="004B3B10">
      <w:pPr>
        <w:spacing w:line="360" w:lineRule="auto"/>
        <w:jc w:val="both"/>
        <w:rPr>
          <w:rFonts w:ascii="Verdana" w:hAnsi="Verdana"/>
          <w:b/>
          <w:lang w:val="en-US"/>
        </w:rPr>
      </w:pPr>
      <w:r w:rsidRPr="008277E4">
        <w:rPr>
          <w:rFonts w:ascii="Verdana" w:hAnsi="Verdana"/>
          <w:b/>
          <w:lang w:val="en-US"/>
        </w:rPr>
        <w:t>EU Framework for National Roma Integration Strategies</w:t>
      </w:r>
      <w:r w:rsidRPr="008277E4">
        <w:rPr>
          <w:rStyle w:val="Refdenotaalpie"/>
          <w:rFonts w:ascii="Verdana" w:hAnsi="Verdana"/>
          <w:lang w:val="en-US"/>
        </w:rPr>
        <w:footnoteReference w:id="16"/>
      </w:r>
    </w:p>
    <w:p w:rsidR="001663A0" w:rsidRPr="008277E4" w:rsidRDefault="001663A0" w:rsidP="004B3B10">
      <w:pPr>
        <w:ind w:right="567" w:firstLine="567"/>
        <w:jc w:val="both"/>
        <w:rPr>
          <w:rFonts w:ascii="Verdana" w:hAnsi="Verdana"/>
          <w:b/>
          <w:lang w:val="en-US"/>
        </w:rPr>
      </w:pPr>
      <w:r w:rsidRPr="008277E4">
        <w:rPr>
          <w:rFonts w:ascii="Verdana" w:hAnsi="Verdana"/>
          <w:bCs/>
          <w:sz w:val="20"/>
          <w:szCs w:val="20"/>
          <w:lang w:val="en-GB"/>
        </w:rPr>
        <w:t>The Council of the European Union (…)</w:t>
      </w:r>
    </w:p>
    <w:p w:rsidR="001663A0" w:rsidRPr="008277E4" w:rsidRDefault="001663A0" w:rsidP="004B3B10">
      <w:pPr>
        <w:ind w:left="567" w:right="567"/>
        <w:jc w:val="both"/>
        <w:rPr>
          <w:rFonts w:ascii="Verdana" w:hAnsi="Verdana"/>
          <w:bCs/>
          <w:sz w:val="20"/>
          <w:szCs w:val="20"/>
          <w:lang w:val="en-GB"/>
        </w:rPr>
      </w:pPr>
      <w:r w:rsidRPr="008277E4">
        <w:rPr>
          <w:rFonts w:ascii="Verdana" w:hAnsi="Verdana"/>
          <w:bCs/>
          <w:sz w:val="20"/>
          <w:szCs w:val="20"/>
          <w:lang w:val="en-GB"/>
        </w:rPr>
        <w:t>Invites the Member States:</w:t>
      </w:r>
    </w:p>
    <w:p w:rsidR="001663A0" w:rsidRPr="008277E4" w:rsidRDefault="001663A0" w:rsidP="004B3B10">
      <w:pPr>
        <w:ind w:left="567" w:right="567"/>
        <w:jc w:val="both"/>
        <w:rPr>
          <w:rFonts w:ascii="Verdana" w:hAnsi="Verdana"/>
          <w:bCs/>
          <w:sz w:val="20"/>
          <w:szCs w:val="20"/>
          <w:lang w:val="en-GB"/>
        </w:rPr>
      </w:pPr>
      <w:r w:rsidRPr="008277E4">
        <w:rPr>
          <w:rFonts w:ascii="Verdana" w:hAnsi="Verdana"/>
          <w:bCs/>
          <w:sz w:val="20"/>
          <w:szCs w:val="20"/>
          <w:lang w:val="en-GB"/>
        </w:rPr>
        <w:t>20. to improve the social and economic situation of Roma by pursuing a mainstreaming approach in the fields of education, employment, housing, and healthcare, taking into account, where appropriate, the Common Basic Principles on Roma Inclusion, as well as by ensuring equal access to quality services, and to apply an integrated approach to these policies and make the best use of the funds and resources available;</w:t>
      </w:r>
    </w:p>
    <w:p w:rsidR="001663A0" w:rsidRPr="008277E4" w:rsidRDefault="001663A0" w:rsidP="004B3B10">
      <w:pPr>
        <w:ind w:left="567" w:right="567"/>
        <w:jc w:val="both"/>
        <w:rPr>
          <w:rFonts w:ascii="Verdana" w:hAnsi="Verdana"/>
          <w:bCs/>
          <w:sz w:val="20"/>
          <w:szCs w:val="20"/>
          <w:lang w:val="en-GB"/>
        </w:rPr>
      </w:pPr>
      <w:r w:rsidRPr="008277E4">
        <w:rPr>
          <w:rFonts w:ascii="Verdana" w:hAnsi="Verdana"/>
          <w:bCs/>
          <w:sz w:val="20"/>
          <w:szCs w:val="20"/>
          <w:lang w:val="en-GB"/>
        </w:rPr>
        <w:t xml:space="preserve">21. to set or continue working towards their goals, in accordance with the Member States‘ policies, in the fields of education, employment, healthcare and housing with a view to closing the gaps between marginalised Roma communities and the general population. Particular attention should be paid to the need to ensure equal access in practice. </w:t>
      </w:r>
      <w:r w:rsidRPr="008277E4">
        <w:rPr>
          <w:rFonts w:ascii="Verdana" w:hAnsi="Verdana"/>
          <w:bCs/>
          <w:sz w:val="20"/>
          <w:szCs w:val="20"/>
          <w:lang w:val="en-GB"/>
        </w:rPr>
        <w:lastRenderedPageBreak/>
        <w:t xml:space="preserve">The goals could focus on the following priority areas, paying special attention to the gender dimension: (…) </w:t>
      </w:r>
    </w:p>
    <w:p w:rsidR="001663A0" w:rsidRPr="008277E4" w:rsidRDefault="001663A0" w:rsidP="004B3B10">
      <w:pPr>
        <w:ind w:left="567" w:right="567"/>
        <w:jc w:val="both"/>
        <w:rPr>
          <w:rFonts w:ascii="Verdana" w:hAnsi="Verdana"/>
          <w:bCs/>
          <w:sz w:val="20"/>
          <w:szCs w:val="20"/>
          <w:lang w:val="en-GB"/>
        </w:rPr>
      </w:pPr>
      <w:r w:rsidRPr="008277E4">
        <w:rPr>
          <w:rFonts w:ascii="Verdana" w:hAnsi="Verdana"/>
          <w:bCs/>
          <w:sz w:val="20"/>
          <w:szCs w:val="20"/>
          <w:lang w:val="en-GB"/>
        </w:rPr>
        <w:t xml:space="preserve">(c) access to healthcare, with particular reference to quality healthcare including preventive healthcare and health education; </w:t>
      </w:r>
    </w:p>
    <w:p w:rsidR="001663A0" w:rsidRPr="008277E4" w:rsidRDefault="001663A0" w:rsidP="00C23D14">
      <w:pPr>
        <w:spacing w:line="360" w:lineRule="auto"/>
        <w:jc w:val="both"/>
        <w:rPr>
          <w:rFonts w:ascii="Verdana" w:hAnsi="Verdana"/>
          <w:b/>
          <w:bCs/>
          <w:color w:val="000080"/>
          <w:sz w:val="24"/>
          <w:szCs w:val="28"/>
          <w:lang w:val="en-GB"/>
        </w:rPr>
      </w:pPr>
    </w:p>
    <w:p w:rsidR="001663A0" w:rsidRPr="008277E4" w:rsidRDefault="001663A0" w:rsidP="00C23D14">
      <w:pPr>
        <w:spacing w:line="360" w:lineRule="auto"/>
        <w:jc w:val="both"/>
        <w:rPr>
          <w:rFonts w:ascii="Verdana" w:hAnsi="Verdana"/>
          <w:b/>
          <w:bCs/>
          <w:color w:val="000080"/>
          <w:sz w:val="24"/>
          <w:szCs w:val="28"/>
          <w:lang w:val="en-GB"/>
        </w:rPr>
      </w:pPr>
    </w:p>
    <w:p w:rsidR="001663A0" w:rsidRPr="008277E4" w:rsidRDefault="001663A0" w:rsidP="00BA67A6">
      <w:pPr>
        <w:numPr>
          <w:ilvl w:val="0"/>
          <w:numId w:val="13"/>
        </w:numPr>
        <w:spacing w:line="360" w:lineRule="auto"/>
        <w:jc w:val="both"/>
        <w:rPr>
          <w:rFonts w:ascii="Verdana" w:hAnsi="Verdana"/>
          <w:b/>
          <w:bCs/>
          <w:color w:val="000080"/>
          <w:sz w:val="24"/>
          <w:szCs w:val="28"/>
          <w:lang w:val="en-GB"/>
        </w:rPr>
      </w:pPr>
      <w:r w:rsidRPr="008277E4">
        <w:rPr>
          <w:rFonts w:ascii="Verdana" w:hAnsi="Verdana"/>
          <w:b/>
          <w:bCs/>
          <w:color w:val="000080"/>
          <w:sz w:val="24"/>
          <w:szCs w:val="28"/>
          <w:lang w:val="en-GB"/>
        </w:rPr>
        <w:t>Readings</w:t>
      </w:r>
    </w:p>
    <w:p w:rsidR="001663A0" w:rsidRPr="008277E4" w:rsidRDefault="001663A0" w:rsidP="000C4FEC">
      <w:pPr>
        <w:spacing w:line="360" w:lineRule="auto"/>
        <w:jc w:val="both"/>
        <w:rPr>
          <w:rFonts w:ascii="Verdana" w:hAnsi="Verdana"/>
          <w:b/>
          <w:bCs/>
          <w:color w:val="000080"/>
          <w:szCs w:val="28"/>
          <w:lang w:val="en-GB"/>
        </w:rPr>
      </w:pPr>
      <w:r w:rsidRPr="008277E4">
        <w:rPr>
          <w:rFonts w:ascii="Verdana" w:hAnsi="Verdana"/>
          <w:b/>
          <w:bCs/>
          <w:color w:val="000080"/>
          <w:szCs w:val="28"/>
          <w:lang w:val="en-GB"/>
        </w:rPr>
        <w:t>Recommended Readings</w:t>
      </w:r>
    </w:p>
    <w:p w:rsidR="001663A0" w:rsidRPr="005C6929" w:rsidRDefault="001663A0" w:rsidP="005C6929">
      <w:pPr>
        <w:pStyle w:val="Textonotapie"/>
        <w:numPr>
          <w:ilvl w:val="0"/>
          <w:numId w:val="17"/>
        </w:numPr>
        <w:rPr>
          <w:rFonts w:ascii="Verdana" w:hAnsi="Verdana"/>
          <w:lang w:val="en-GB"/>
        </w:rPr>
      </w:pPr>
      <w:r w:rsidRPr="005C6929">
        <w:rPr>
          <w:rFonts w:ascii="Verdana" w:hAnsi="Verdana"/>
          <w:lang w:val="en-GB"/>
        </w:rPr>
        <w:t>Cattacin S, Chiarenza A, Domenig D. Equity standards for healthcare organisations: a theoretical framework. Diversity and Equality in Health and Care 2013;10:249-258.</w:t>
      </w:r>
    </w:p>
    <w:p w:rsidR="001663A0" w:rsidRPr="005C6929" w:rsidRDefault="001663A0" w:rsidP="005C6929">
      <w:pPr>
        <w:pStyle w:val="Textonotapie"/>
        <w:numPr>
          <w:ilvl w:val="0"/>
          <w:numId w:val="17"/>
        </w:numPr>
        <w:rPr>
          <w:rFonts w:ascii="Verdana" w:hAnsi="Verdana"/>
          <w:lang w:val="en-GB"/>
        </w:rPr>
      </w:pPr>
      <w:r w:rsidRPr="00F906FB">
        <w:rPr>
          <w:rFonts w:ascii="Verdana" w:hAnsi="Verdana"/>
        </w:rPr>
        <w:t xml:space="preserve">Mock-Muñoz de Luna C, Ingleby D, Graval E, Krasnik A. Synthesis Report. </w:t>
      </w:r>
      <w:r w:rsidRPr="005C6929">
        <w:rPr>
          <w:rFonts w:ascii="Verdana" w:hAnsi="Verdana"/>
          <w:lang w:val="en-GB"/>
        </w:rPr>
        <w:t xml:space="preserve">MEM-TP, Training packages for health professionals to improve access and quality of health services for migrants and ethnic minorities, including the Roma. Granada, Copenhagen: Andalusian School of Public Health, University of Copenhagen, 2015a. </w:t>
      </w:r>
      <w:hyperlink r:id="rId10" w:history="1">
        <w:r w:rsidRPr="005C6929">
          <w:rPr>
            <w:rStyle w:val="Hipervnculo"/>
            <w:rFonts w:ascii="Verdana" w:hAnsi="Verdana"/>
            <w:lang w:val="en-GB"/>
          </w:rPr>
          <w:t>http://www.mem-tp.org/pluginfile.php/619/mod_resource/content/1/MEM-TP_Synthesis_Report.pdf</w:t>
        </w:r>
      </w:hyperlink>
      <w:r w:rsidRPr="005C6929">
        <w:rPr>
          <w:rFonts w:ascii="Verdana" w:hAnsi="Verdana"/>
          <w:lang w:val="en-GB"/>
        </w:rPr>
        <w:t xml:space="preserve"> (retrieved: March 5, 2015). </w:t>
      </w:r>
    </w:p>
    <w:p w:rsidR="001663A0" w:rsidRPr="005C6929" w:rsidRDefault="001663A0" w:rsidP="005C6929">
      <w:pPr>
        <w:pStyle w:val="Textonotapie"/>
        <w:numPr>
          <w:ilvl w:val="0"/>
          <w:numId w:val="17"/>
        </w:numPr>
        <w:rPr>
          <w:rFonts w:ascii="Verdana" w:hAnsi="Verdana"/>
          <w:lang w:val="en-GB"/>
        </w:rPr>
      </w:pPr>
      <w:r w:rsidRPr="005C6929">
        <w:rPr>
          <w:rFonts w:ascii="Verdana" w:hAnsi="Verdana"/>
          <w:lang w:val="en-GB"/>
        </w:rPr>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hyperlink r:id="rId11" w:history="1">
        <w:r w:rsidRPr="005C6929">
          <w:rPr>
            <w:rStyle w:val="Hipervnculo"/>
            <w:rFonts w:ascii="Verdana" w:hAnsi="Verdana"/>
            <w:lang w:val="en-GB"/>
          </w:rPr>
          <w:t>http://www.mem-tp.org/pluginfile.php/620/mod_resource/content/1/MEM-TP_Synthesis_Report_Appendices_I-VI.pdf</w:t>
        </w:r>
      </w:hyperlink>
      <w:r w:rsidRPr="005C6929">
        <w:rPr>
          <w:rFonts w:ascii="Verdana" w:hAnsi="Verdana"/>
          <w:lang w:val="en-GB"/>
        </w:rPr>
        <w:t xml:space="preserve"> (retrieved: March 5, 2015). </w:t>
      </w:r>
    </w:p>
    <w:p w:rsidR="001663A0" w:rsidRPr="008277E4" w:rsidRDefault="001663A0" w:rsidP="000C4FEC">
      <w:pPr>
        <w:spacing w:line="360" w:lineRule="auto"/>
        <w:jc w:val="both"/>
        <w:rPr>
          <w:rFonts w:ascii="Verdana" w:hAnsi="Verdana"/>
          <w:b/>
          <w:bCs/>
          <w:color w:val="000080"/>
          <w:szCs w:val="28"/>
          <w:lang w:val="en-GB"/>
        </w:rPr>
      </w:pPr>
    </w:p>
    <w:p w:rsidR="001663A0" w:rsidRPr="008277E4" w:rsidRDefault="001663A0" w:rsidP="000C4FEC">
      <w:pPr>
        <w:spacing w:line="360" w:lineRule="auto"/>
        <w:jc w:val="both"/>
        <w:rPr>
          <w:rFonts w:ascii="Verdana" w:hAnsi="Verdana"/>
          <w:b/>
          <w:bCs/>
          <w:color w:val="000080"/>
          <w:szCs w:val="28"/>
          <w:lang w:val="en-GB"/>
        </w:rPr>
      </w:pPr>
      <w:r w:rsidRPr="008277E4">
        <w:rPr>
          <w:rFonts w:ascii="Verdana" w:hAnsi="Verdana"/>
          <w:b/>
          <w:bCs/>
          <w:color w:val="000080"/>
          <w:szCs w:val="28"/>
          <w:lang w:val="en-GB"/>
        </w:rPr>
        <w:t>Complementary Readings</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CECSR, Committee on Economic, Cultural and Social Rights. General Comment Nº 14 (2000). The right to the highest attainable standard of health, p. 1-4. </w:t>
      </w:r>
      <w:hyperlink r:id="rId12" w:history="1">
        <w:r w:rsidRPr="005C6929">
          <w:rPr>
            <w:rStyle w:val="Hipervnculo"/>
            <w:rFonts w:ascii="Verdana" w:hAnsi="Verdana"/>
            <w:lang w:val="en-GB"/>
          </w:rPr>
          <w:t>http://tbinternet.ohchr.org/_layouts/treatybodyexternal/TBSearch.aspx?Lang=en&amp;TreatyID=9&amp;DocTypeID=11</w:t>
        </w:r>
      </w:hyperlink>
      <w:r w:rsidRPr="005C6929">
        <w:rPr>
          <w:rFonts w:ascii="Verdana" w:hAnsi="Verdana"/>
          <w:lang w:val="en-GB"/>
        </w:rPr>
        <w:t xml:space="preserve"> (retrieved: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Chiarenza A. Developments in the concept of 'cultural competence'. </w:t>
      </w:r>
      <w:r w:rsidRPr="005C6929">
        <w:rPr>
          <w:rFonts w:ascii="Verdana" w:hAnsi="Verdana"/>
          <w:lang w:val="it-IT"/>
        </w:rPr>
        <w:t xml:space="preserve">In: Ingleby D, Chiarenza A, Devillé W, Kotsioni I (eds). </w:t>
      </w:r>
      <w:r w:rsidRPr="005C6929">
        <w:rPr>
          <w:rFonts w:ascii="Verdana" w:hAnsi="Verdana"/>
          <w:iCs/>
          <w:lang w:val="en-GB"/>
        </w:rPr>
        <w:t>Inequalities in health care for migrants and ethnic minorities</w:t>
      </w:r>
      <w:r w:rsidRPr="005C6929">
        <w:rPr>
          <w:rFonts w:ascii="Verdana" w:hAnsi="Verdana"/>
          <w:lang w:val="en-GB"/>
        </w:rPr>
        <w:t>, Vol. 2, p. 66-81. COST Series on Health and Diversity. Antwerp: Garant Publishers, 2012.</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Council of Europe. Recommendation Rec2006(18) of the Committee of Ministers to Member States on health services in a multicultural society, 2006. </w:t>
      </w:r>
      <w:hyperlink r:id="rId13" w:history="1">
        <w:r w:rsidRPr="005C6929">
          <w:rPr>
            <w:rStyle w:val="Hipervnculo"/>
            <w:rFonts w:ascii="Verdana" w:hAnsi="Verdana"/>
            <w:lang w:val="en-GB"/>
          </w:rPr>
          <w:t>https://wcd.coe.int/ViewDoc.jsp?id=1062769&amp;BackC</w:t>
        </w:r>
      </w:hyperlink>
      <w:r w:rsidRPr="005C6929">
        <w:rPr>
          <w:rFonts w:ascii="Verdana" w:hAnsi="Verdana"/>
          <w:lang w:val="en-GB"/>
        </w:rPr>
        <w:t xml:space="preserve"> (retrieved: January 12, 2015).</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Council of Europe. White Paper on Intercultural Dialogue. “Living Together As Equals in Dignity”. Strasbourg: Council of Europe, 2008. </w:t>
      </w:r>
      <w:hyperlink r:id="rId14" w:history="1">
        <w:r w:rsidRPr="005C6929">
          <w:rPr>
            <w:rStyle w:val="Hipervnculo"/>
            <w:rFonts w:ascii="Verdana" w:hAnsi="Verdana"/>
            <w:lang w:val="en-GB"/>
          </w:rPr>
          <w:t>http://www.coe.int/t/dg4/intercultural/source/white%20paper_final_revised_en.pdf</w:t>
        </w:r>
      </w:hyperlink>
      <w:r w:rsidRPr="005C6929">
        <w:rPr>
          <w:rFonts w:ascii="Verdana" w:hAnsi="Verdana"/>
          <w:lang w:val="en-GB"/>
        </w:rPr>
        <w:t xml:space="preserve"> (retrieved: December 8,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bCs/>
          <w:lang w:val="en-GB"/>
        </w:rPr>
        <w:t xml:space="preserve">Council of the European Union. EU Framework for National Roma Integration Strategies (NRIS), 2011. </w:t>
      </w:r>
      <w:hyperlink r:id="rId15" w:history="1">
        <w:r w:rsidRPr="005C6929">
          <w:rPr>
            <w:rStyle w:val="Hipervnculo"/>
            <w:rFonts w:ascii="Verdana" w:hAnsi="Verdana"/>
            <w:bCs/>
            <w:lang w:val="en-GB"/>
          </w:rPr>
          <w:t>http://register.consilium.europa.eu/doc/srv?l=EN&amp;f=ST%2010658%202011%20INIT</w:t>
        </w:r>
      </w:hyperlink>
      <w:r w:rsidRPr="005C6929">
        <w:rPr>
          <w:rFonts w:ascii="Verdana" w:hAnsi="Verdana"/>
          <w:bCs/>
          <w:lang w:val="en-GB"/>
        </w:rPr>
        <w:t xml:space="preserve"> </w:t>
      </w:r>
      <w:r w:rsidRPr="005C6929">
        <w:rPr>
          <w:rFonts w:ascii="Verdana" w:hAnsi="Verdana"/>
          <w:lang w:val="en-GB"/>
        </w:rPr>
        <w:t>(retrieved: January 12, 2015).</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FRA, European Union Agency for Fundamental Rights. Fundamental Rights of Migrants in an Irregular Situation in the European Union. Luxembourg: Publications Office of the European Union, 2011a. </w:t>
      </w:r>
      <w:hyperlink r:id="rId16" w:history="1">
        <w:r w:rsidRPr="005C6929">
          <w:rPr>
            <w:rStyle w:val="Hipervnculo"/>
            <w:rFonts w:ascii="Verdana" w:hAnsi="Verdana"/>
            <w:lang w:val="en-GB"/>
          </w:rPr>
          <w:t>http://fra.europa.eu/sites/default/files/fra_uploads/1827-</w:t>
        </w:r>
        <w:r w:rsidRPr="005C6929">
          <w:rPr>
            <w:rStyle w:val="Hipervnculo"/>
            <w:rFonts w:ascii="Verdana" w:hAnsi="Verdana"/>
            <w:lang w:val="en-GB"/>
          </w:rPr>
          <w:lastRenderedPageBreak/>
          <w:t>FRA_2011_Migrants_in_an_irregular_situation_EN.pdf</w:t>
        </w:r>
      </w:hyperlink>
      <w:r w:rsidRPr="005C6929">
        <w:rPr>
          <w:rFonts w:ascii="Verdana" w:hAnsi="Verdana"/>
          <w:lang w:val="en-GB"/>
        </w:rPr>
        <w:t xml:space="preserve"> (retrieved: January 12, 2015). </w:t>
      </w:r>
      <w:bookmarkStart w:id="0" w:name="_GoBack"/>
      <w:bookmarkEnd w:id="0"/>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FRA, European Union Agency for Fundamental Rights. Migrants in an Irregular Situation: Access to Health Care in 10 European Union Member States. Luxembourg: Publications Office of the European Union, 2011b.</w:t>
      </w:r>
      <w:r>
        <w:rPr>
          <w:rFonts w:ascii="Verdana" w:hAnsi="Verdana"/>
          <w:lang w:val="en-GB"/>
        </w:rPr>
        <w:t xml:space="preserve"> </w:t>
      </w:r>
      <w:hyperlink r:id="rId17" w:history="1">
        <w:r w:rsidRPr="005C6929">
          <w:rPr>
            <w:rStyle w:val="Hipervnculo"/>
            <w:rFonts w:ascii="Verdana" w:hAnsi="Verdana"/>
            <w:lang w:val="en-GB"/>
          </w:rPr>
          <w:t>http://fra.europa.eu/sites/default/files/fra_uploads/1771-FRA-2011-fundamental-rights-for-irregular-migrants-healthcare_EN.pdf</w:t>
        </w:r>
      </w:hyperlink>
      <w:r w:rsidRPr="005C6929">
        <w:rPr>
          <w:rFonts w:ascii="Verdana" w:hAnsi="Verdana"/>
          <w:lang w:val="en-GB"/>
        </w:rPr>
        <w:t xml:space="preserve"> (retrieved: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FRA, European Union Fundamental Rights Agency, UNDP, United Nations Development Programme. The situation of Roma in 11 EU Member States. Survey results at a glance. Luxembourg: Publications Office of the European Union, 2012. </w:t>
      </w:r>
      <w:hyperlink r:id="rId18" w:history="1">
        <w:r w:rsidRPr="005C6929">
          <w:rPr>
            <w:rStyle w:val="Hipervnculo"/>
            <w:rFonts w:ascii="Verdana" w:hAnsi="Verdana"/>
            <w:lang w:val="en-GB"/>
          </w:rPr>
          <w:t>http://fra.europa.eu/sites/default/files/fra_uploads/2099-FRA-2012-Roma-at-a-glance_EN.pdf</w:t>
        </w:r>
      </w:hyperlink>
      <w:r w:rsidRPr="005C6929">
        <w:rPr>
          <w:rFonts w:ascii="Verdana" w:hAnsi="Verdana"/>
          <w:lang w:val="en-GB"/>
        </w:rPr>
        <w:t xml:space="preserve"> (retrieved: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cs="Tahoma"/>
          <w:color w:val="393939"/>
          <w:shd w:val="clear" w:color="auto" w:fill="FFFFFF"/>
          <w:lang w:val="en-GB"/>
        </w:rPr>
      </w:pPr>
      <w:r w:rsidRPr="005C6929">
        <w:rPr>
          <w:rFonts w:ascii="Verdana" w:hAnsi="Verdana" w:cs="Tahoma"/>
          <w:shd w:val="clear" w:color="auto" w:fill="FFFFFF"/>
          <w:lang w:val="en-GB"/>
        </w:rPr>
        <w:t xml:space="preserve">Papadopoulos I (ed). Transcultural Health and Social Care: Development of Culturally Competent Practitioners. Churchill Livingstone Elsevier: Edinburgh, 2006, quoted in: IENE, Intercultural Education of Nurses in Europe, 2014, n.p. </w:t>
      </w:r>
      <w:hyperlink r:id="rId19" w:history="1">
        <w:r w:rsidRPr="005C6929">
          <w:rPr>
            <w:rStyle w:val="Hipervnculo"/>
            <w:rFonts w:ascii="Verdana" w:hAnsi="Verdana" w:cs="Tahoma"/>
            <w:shd w:val="clear" w:color="auto" w:fill="FFFFFF"/>
            <w:lang w:val="en-GB"/>
          </w:rPr>
          <w:t>http://www.ieneproject.eu/glossary-term.php?termID=11</w:t>
        </w:r>
      </w:hyperlink>
      <w:r w:rsidRPr="005C6929">
        <w:rPr>
          <w:rFonts w:ascii="Verdana" w:hAnsi="Verdana" w:cs="Tahoma"/>
          <w:color w:val="393939"/>
          <w:shd w:val="clear" w:color="auto" w:fill="FFFFFF"/>
          <w:lang w:val="en-GB"/>
        </w:rPr>
        <w:t xml:space="preserve"> </w:t>
      </w:r>
      <w:r w:rsidRPr="005C6929">
        <w:rPr>
          <w:rFonts w:ascii="Verdana" w:hAnsi="Verdana" w:cs="Tahoma"/>
          <w:shd w:val="clear" w:color="auto" w:fill="FFFFFF"/>
          <w:lang w:val="en-GB"/>
        </w:rPr>
        <w:t xml:space="preserve">(retrieved: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Renschler  I, Cattacin S. Comprehensive ‘difference sensitivity’ in health systems. In: Bjorngren-Cuadra C, Cattacin S (eds). </w:t>
      </w:r>
      <w:r w:rsidRPr="005C6929">
        <w:rPr>
          <w:rFonts w:ascii="Verdana" w:hAnsi="Verdana"/>
          <w:iCs/>
          <w:lang w:val="en-GB"/>
        </w:rPr>
        <w:t>Migration and Health: difference sensitivity from an organizational perspective, p. 37-41</w:t>
      </w:r>
      <w:r w:rsidRPr="005C6929">
        <w:rPr>
          <w:rFonts w:ascii="Verdana" w:hAnsi="Verdana"/>
          <w:lang w:val="en-GB"/>
        </w:rPr>
        <w:t>. Malmo: IMER, 2007.</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UN, United Nations. International Convention on the Elimination of All Forms of Racial Discrimination, 1965 [1969]. </w:t>
      </w:r>
      <w:hyperlink r:id="rId20" w:history="1">
        <w:r w:rsidRPr="005C6929">
          <w:rPr>
            <w:rStyle w:val="Hipervnculo"/>
            <w:rFonts w:ascii="Verdana" w:hAnsi="Verdana"/>
            <w:lang w:val="en-GB"/>
          </w:rPr>
          <w:t>http://www.ohchr.org/EN/ProfessionalInterest/Pages/CERD.aspx</w:t>
        </w:r>
      </w:hyperlink>
      <w:r w:rsidRPr="005C6929">
        <w:rPr>
          <w:rFonts w:ascii="Verdana" w:hAnsi="Verdana"/>
          <w:lang w:val="en-GB"/>
        </w:rPr>
        <w:t xml:space="preserve"> (retrieved: January 12, 2015).</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UN, United Nations. International Covenant on Economic, Social and Cultural Rights, 1966 [1976]. </w:t>
      </w:r>
      <w:hyperlink r:id="rId21" w:history="1">
        <w:r w:rsidRPr="005C6929">
          <w:rPr>
            <w:rStyle w:val="Hipervnculo"/>
            <w:rFonts w:ascii="Verdana" w:hAnsi="Verdana"/>
            <w:lang w:val="en-GB"/>
          </w:rPr>
          <w:t>http://www.ohchr.org/EN/ProfessionalInterest/Pages/CESCR.aspx</w:t>
        </w:r>
      </w:hyperlink>
      <w:r w:rsidRPr="005C6929">
        <w:rPr>
          <w:rFonts w:ascii="Verdana" w:hAnsi="Verdana"/>
          <w:lang w:val="en-GB"/>
        </w:rPr>
        <w:t xml:space="preserve"> (retrieved: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UN, United Nations. International Convention on the Protection of the Rights of All Migrant Workers and Members of Their Families, 1990, n.p. </w:t>
      </w:r>
      <w:hyperlink r:id="rId22" w:history="1">
        <w:r w:rsidRPr="005C6929">
          <w:rPr>
            <w:rStyle w:val="Hipervnculo"/>
            <w:rFonts w:ascii="Verdana" w:hAnsi="Verdana"/>
            <w:lang w:val="en-GB"/>
          </w:rPr>
          <w:t>http://www2.ohchr.org/english/bodies/cmw/cmw.htm</w:t>
        </w:r>
      </w:hyperlink>
      <w:r w:rsidRPr="005C6929">
        <w:rPr>
          <w:rFonts w:ascii="Verdana" w:hAnsi="Verdana"/>
          <w:lang w:val="en-GB"/>
        </w:rPr>
        <w:t xml:space="preserve"> (retrieved: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UNESCO, United Nations Educational, Scientific and Cultural Organization. Intercultural Competences. Conceptual and Operational Framework. Paris: UNESCO, 2013. </w:t>
      </w:r>
      <w:hyperlink r:id="rId23" w:history="1">
        <w:r w:rsidRPr="005C6929">
          <w:rPr>
            <w:rStyle w:val="Hipervnculo"/>
            <w:rFonts w:ascii="Verdana" w:hAnsi="Verdana"/>
            <w:lang w:val="en-GB"/>
          </w:rPr>
          <w:t>http://unesdoc.unesco.org/images/0021/002197/219768e.pdf</w:t>
        </w:r>
      </w:hyperlink>
      <w:r w:rsidRPr="005C6929">
        <w:rPr>
          <w:rFonts w:ascii="Verdana" w:hAnsi="Verdana"/>
          <w:lang w:val="en-GB"/>
        </w:rPr>
        <w:t xml:space="preserve"> (retrieved: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 xml:space="preserve">UNESCO, United Nations Educational, Scientific and Cultural Organization. UNESCO Universal Declaration on Cultural Diversity. Paris: UNESCO, 2001. </w:t>
      </w:r>
      <w:hyperlink r:id="rId24" w:history="1">
        <w:r w:rsidRPr="005C6929">
          <w:rPr>
            <w:rStyle w:val="Hipervnculo"/>
            <w:rFonts w:ascii="Verdana" w:hAnsi="Verdana"/>
            <w:lang w:val="en-GB"/>
          </w:rPr>
          <w:t>http://unesdoc.unesco.org/images/0012/001271/127162e.pdf</w:t>
        </w:r>
      </w:hyperlink>
      <w:r w:rsidRPr="005C6929">
        <w:rPr>
          <w:rFonts w:ascii="Verdana" w:hAnsi="Verdana"/>
          <w:lang w:val="en-GB"/>
        </w:rPr>
        <w:t xml:space="preserve"> (retrieved: January 12, 2015). </w:t>
      </w:r>
    </w:p>
    <w:p w:rsidR="001663A0" w:rsidRPr="005C6929" w:rsidRDefault="001663A0" w:rsidP="005C6929">
      <w:pPr>
        <w:pStyle w:val="Textonotapie"/>
        <w:numPr>
          <w:ilvl w:val="0"/>
          <w:numId w:val="18"/>
        </w:numPr>
        <w:tabs>
          <w:tab w:val="clear" w:pos="720"/>
          <w:tab w:val="num" w:pos="360"/>
        </w:tabs>
        <w:ind w:left="360"/>
        <w:rPr>
          <w:rFonts w:ascii="Verdana" w:hAnsi="Verdana"/>
          <w:lang w:val="en-GB"/>
        </w:rPr>
      </w:pPr>
      <w:r w:rsidRPr="005C6929">
        <w:rPr>
          <w:rFonts w:ascii="Verdana" w:hAnsi="Verdana"/>
          <w:lang w:val="en-GB"/>
        </w:rPr>
        <w:t>WHO, World Health Organization. WHO’s Contribution to the World Conference Against Racism, Racial Discrimination, Xenophobia and Related Intolerance. Health and freedom from discrimination. Health &amp; Human Rights Publication Series Issue No. 2, Geneva: WHO, 2001.</w:t>
      </w:r>
      <w:r>
        <w:rPr>
          <w:rFonts w:ascii="Verdana" w:hAnsi="Verdana"/>
          <w:lang w:val="en-GB"/>
        </w:rPr>
        <w:t xml:space="preserve"> </w:t>
      </w:r>
      <w:hyperlink r:id="rId25" w:history="1">
        <w:r w:rsidRPr="005C6929">
          <w:rPr>
            <w:rStyle w:val="Hipervnculo"/>
            <w:rFonts w:ascii="Verdana" w:hAnsi="Verdana"/>
            <w:lang w:val="en-GB"/>
          </w:rPr>
          <w:t>http://www.who.int/hhr/activities/q_and_a/en/Health_and_Freedom_from_Discrimination_English_699KB.pdf</w:t>
        </w:r>
      </w:hyperlink>
      <w:r w:rsidRPr="005C6929">
        <w:rPr>
          <w:rFonts w:ascii="Verdana" w:hAnsi="Verdana"/>
          <w:lang w:val="en-GB"/>
        </w:rPr>
        <w:t xml:space="preserve"> (retrieved: January 12, 2015).</w:t>
      </w:r>
    </w:p>
    <w:p w:rsidR="001663A0" w:rsidRPr="005C6929" w:rsidRDefault="001663A0" w:rsidP="005C6929">
      <w:pPr>
        <w:pStyle w:val="Textonotapie"/>
        <w:rPr>
          <w:rFonts w:ascii="Verdana" w:hAnsi="Verdana"/>
          <w:lang w:val="en-GB"/>
        </w:rPr>
      </w:pPr>
    </w:p>
    <w:p w:rsidR="001663A0" w:rsidRPr="008277E4" w:rsidRDefault="001663A0" w:rsidP="00FE64D5">
      <w:pPr>
        <w:pStyle w:val="Textonotapie"/>
        <w:jc w:val="both"/>
        <w:rPr>
          <w:rFonts w:ascii="Verdana" w:hAnsi="Verdana"/>
          <w:sz w:val="18"/>
          <w:szCs w:val="18"/>
          <w:lang w:val="en-GB"/>
        </w:rPr>
      </w:pPr>
    </w:p>
    <w:sectPr w:rsidR="001663A0" w:rsidRPr="008277E4" w:rsidSect="003C1589">
      <w:headerReference w:type="even" r:id="rId26"/>
      <w:headerReference w:type="default" r:id="rId27"/>
      <w:footerReference w:type="even" r:id="rId28"/>
      <w:footerReference w:type="default" r:id="rId29"/>
      <w:headerReference w:type="first" r:id="rId30"/>
      <w:footerReference w:type="first" r:id="rId31"/>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30" w:rsidRDefault="00425730">
      <w:r>
        <w:separator/>
      </w:r>
    </w:p>
  </w:endnote>
  <w:endnote w:type="continuationSeparator" w:id="0">
    <w:p w:rsidR="00425730" w:rsidRDefault="0042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A0" w:rsidRPr="00FE7D28" w:rsidRDefault="00425730" w:rsidP="00FE7D28">
    <w:pPr>
      <w:pStyle w:val="Piedepgina"/>
      <w:jc w:val="right"/>
      <w:rPr>
        <w:rFonts w:ascii="Verdana" w:hAnsi="Verdana"/>
      </w:rPr>
    </w:pPr>
    <w:r>
      <w:rPr>
        <w:noProof/>
      </w:rPr>
      <w:pict>
        <v:line id="_x0000_s2049" style="position:absolute;left:0;text-align:left;z-index:-2;visibility:visible" from="0,-.8pt" to="441pt,-.8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1663A0">
      <w:rPr>
        <w:rStyle w:val="Nmerodepgina"/>
      </w:rPr>
      <w:fldChar w:fldCharType="begin"/>
    </w:r>
    <w:r w:rsidR="001663A0">
      <w:rPr>
        <w:rStyle w:val="Nmerodepgina"/>
      </w:rPr>
      <w:instrText xml:space="preserve"> PAGE </w:instrText>
    </w:r>
    <w:r w:rsidR="001663A0">
      <w:rPr>
        <w:rStyle w:val="Nmerodepgina"/>
      </w:rPr>
      <w:fldChar w:fldCharType="separate"/>
    </w:r>
    <w:r w:rsidR="00F906FB">
      <w:rPr>
        <w:rStyle w:val="Nmerodepgina"/>
        <w:noProof/>
      </w:rPr>
      <w:t>10</w:t>
    </w:r>
    <w:r w:rsidR="001663A0">
      <w:rPr>
        <w:rStyle w:val="Nmerodepgina"/>
      </w:rPr>
      <w:fldChar w:fldCharType="end"/>
    </w:r>
  </w:p>
  <w:p w:rsidR="001663A0" w:rsidRDefault="001663A0" w:rsidP="00FE7D28">
    <w:pPr>
      <w:pStyle w:val="Piedepgina"/>
      <w:rPr>
        <w:rFonts w:ascii="Verdana" w:hAnsi="Verdana"/>
        <w:i/>
        <w:sz w:val="16"/>
        <w:szCs w:val="16"/>
      </w:rPr>
    </w:pPr>
    <w:r w:rsidRPr="00FE7D28">
      <w:rPr>
        <w:rFonts w:ascii="Verdana" w:hAnsi="Verdana"/>
        <w:i/>
        <w:sz w:val="16"/>
        <w:szCs w:val="16"/>
      </w:rPr>
      <w:t>September, 2015</w:t>
    </w:r>
  </w:p>
  <w:p w:rsidR="001663A0" w:rsidRDefault="001663A0" w:rsidP="00FE7D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A0" w:rsidRPr="00FE7D28" w:rsidRDefault="001663A0" w:rsidP="00FE7D28">
    <w:pPr>
      <w:pStyle w:val="Piedepgina"/>
      <w:jc w:val="right"/>
      <w:rPr>
        <w:rFonts w:ascii="Verdana" w:hAnsi="Verdana"/>
        <w:sz w:val="16"/>
        <w:szCs w:val="16"/>
      </w:rPr>
    </w:pPr>
    <w:r>
      <w:rPr>
        <w:rStyle w:val="Nmerodepgina"/>
      </w:rPr>
      <w:fldChar w:fldCharType="begin"/>
    </w:r>
    <w:r>
      <w:rPr>
        <w:rStyle w:val="Nmerodepgina"/>
      </w:rPr>
      <w:instrText xml:space="preserve"> PAGE </w:instrText>
    </w:r>
    <w:r>
      <w:rPr>
        <w:rStyle w:val="Nmerodepgina"/>
      </w:rPr>
      <w:fldChar w:fldCharType="separate"/>
    </w:r>
    <w:r w:rsidR="00F906FB">
      <w:rPr>
        <w:rStyle w:val="Nmerodepgina"/>
        <w:noProof/>
      </w:rPr>
      <w:t>9</w:t>
    </w:r>
    <w:r>
      <w:rPr>
        <w:rStyle w:val="Nmerodepgina"/>
      </w:rPr>
      <w:fldChar w:fldCharType="end"/>
    </w:r>
    <w:r w:rsidR="00425730">
      <w:rPr>
        <w:noProof/>
      </w:rPr>
      <w:pict>
        <v:line id="_x0000_s2050" style="position:absolute;left:0;text-align:left;z-index:-1;visibility:visible;mso-position-horizontal-relative:text;mso-position-vertical-relative:text" from="0,3.1pt" to="441pt,3.1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o:allowincell="f">
          <w10:wrap type="tight"/>
        </v:line>
      </w:pict>
    </w:r>
  </w:p>
  <w:p w:rsidR="001663A0" w:rsidRPr="00FE7D28" w:rsidRDefault="001663A0" w:rsidP="00FE7D28">
    <w:pPr>
      <w:pStyle w:val="Piedepgina"/>
      <w:rPr>
        <w:rFonts w:ascii="Verdana" w:hAnsi="Verdana"/>
      </w:rPr>
    </w:pPr>
    <w:r w:rsidRPr="00FE7D28">
      <w:rPr>
        <w:rFonts w:ascii="Verdana" w:hAnsi="Verdana"/>
        <w:i/>
        <w:sz w:val="16"/>
        <w:szCs w:val="16"/>
      </w:rPr>
      <w:t>September,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A0" w:rsidRPr="00FE7D28" w:rsidRDefault="00425730" w:rsidP="00FE7D28">
    <w:pPr>
      <w:pStyle w:val="Piedepgina"/>
      <w:rPr>
        <w:rFonts w:ascii="Verdana" w:hAnsi="Verdana"/>
        <w:sz w:val="16"/>
        <w:szCs w:val="16"/>
      </w:rPr>
    </w:pPr>
    <w:r>
      <w:rPr>
        <w:noProof/>
      </w:rPr>
      <w:pict>
        <v:line id="Line 31" o:spid="_x0000_s2051" style="position:absolute;z-index:-3;visibility:visible" from="0,3.1pt" to="441pt,3.1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o:allowincell="f">
          <w10:wrap type="tight"/>
        </v:line>
      </w:pict>
    </w:r>
  </w:p>
  <w:p w:rsidR="001663A0" w:rsidRPr="00FE7D28" w:rsidRDefault="001663A0" w:rsidP="00FE7D28">
    <w:pPr>
      <w:pStyle w:val="Piedepgina"/>
      <w:rPr>
        <w:rFonts w:ascii="Verdana" w:hAnsi="Verdana"/>
      </w:rPr>
    </w:pPr>
    <w:r w:rsidRPr="00FE7D28">
      <w:rPr>
        <w:rFonts w:ascii="Verdana" w:hAnsi="Verdana"/>
        <w:i/>
        <w:sz w:val="16"/>
        <w:szCs w:val="16"/>
      </w:rP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30" w:rsidRDefault="00425730">
      <w:r>
        <w:separator/>
      </w:r>
    </w:p>
  </w:footnote>
  <w:footnote w:type="continuationSeparator" w:id="0">
    <w:p w:rsidR="00425730" w:rsidRDefault="00425730">
      <w:r>
        <w:continuationSeparator/>
      </w:r>
    </w:p>
  </w:footnote>
  <w:footnote w:id="1">
    <w:p w:rsidR="001663A0" w:rsidRPr="00F906FB" w:rsidRDefault="001663A0" w:rsidP="005C6929">
      <w:pPr>
        <w:pStyle w:val="Textonotapie"/>
        <w:rPr>
          <w:lang w:val="en-US"/>
        </w:rPr>
      </w:pPr>
      <w:r w:rsidRPr="005C6929">
        <w:rPr>
          <w:rStyle w:val="Refdenotaalpie"/>
          <w:rFonts w:ascii="Verdana" w:hAnsi="Verdana" w:cs="Arial"/>
          <w:sz w:val="18"/>
          <w:szCs w:val="18"/>
        </w:rPr>
        <w:footnoteRef/>
      </w:r>
      <w:r w:rsidRPr="005C6929">
        <w:rPr>
          <w:rFonts w:ascii="Verdana" w:hAnsi="Verdana" w:cs="Arial"/>
          <w:sz w:val="18"/>
          <w:szCs w:val="18"/>
          <w:lang w:val="en-GB"/>
        </w:rPr>
        <w:t xml:space="preserve"> </w:t>
      </w:r>
      <w:r w:rsidRPr="005C6929">
        <w:rPr>
          <w:rFonts w:ascii="Verdana" w:hAnsi="Verdana" w:cs="Tahoma"/>
          <w:sz w:val="18"/>
          <w:szCs w:val="18"/>
          <w:shd w:val="clear" w:color="auto" w:fill="FFFFFF"/>
          <w:lang w:val="en-GB"/>
        </w:rPr>
        <w:t xml:space="preserve">Papadopoulos I (ed). Transcultural Health and Social Care: Development of Culturally Competent Practitioners. Churchill Livingstone Elsevier: </w:t>
      </w:r>
      <w:smartTag w:uri="urn:schemas-microsoft-com:office:smarttags" w:element="City">
        <w:r w:rsidRPr="005C6929">
          <w:rPr>
            <w:rFonts w:ascii="Verdana" w:hAnsi="Verdana" w:cs="Tahoma"/>
            <w:sz w:val="18"/>
            <w:szCs w:val="18"/>
            <w:shd w:val="clear" w:color="auto" w:fill="FFFFFF"/>
            <w:lang w:val="en-GB"/>
          </w:rPr>
          <w:t>Edinburgh</w:t>
        </w:r>
      </w:smartTag>
      <w:r w:rsidRPr="005C6929">
        <w:rPr>
          <w:rFonts w:ascii="Verdana" w:hAnsi="Verdana" w:cs="Tahoma"/>
          <w:sz w:val="18"/>
          <w:szCs w:val="18"/>
          <w:shd w:val="clear" w:color="auto" w:fill="FFFFFF"/>
          <w:lang w:val="en-GB"/>
        </w:rPr>
        <w:t xml:space="preserve">, 2006, quoted in: IENE, Intercultural Education of Nurses in </w:t>
      </w:r>
      <w:smartTag w:uri="urn:schemas-microsoft-com:office:smarttags" w:element="place">
        <w:r w:rsidRPr="005C6929">
          <w:rPr>
            <w:rFonts w:ascii="Verdana" w:hAnsi="Verdana" w:cs="Tahoma"/>
            <w:sz w:val="18"/>
            <w:szCs w:val="18"/>
            <w:shd w:val="clear" w:color="auto" w:fill="FFFFFF"/>
            <w:lang w:val="en-GB"/>
          </w:rPr>
          <w:t>Europe</w:t>
        </w:r>
      </w:smartTag>
      <w:r w:rsidRPr="005C6929">
        <w:rPr>
          <w:rFonts w:ascii="Verdana" w:hAnsi="Verdana" w:cs="Tahoma"/>
          <w:sz w:val="18"/>
          <w:szCs w:val="18"/>
          <w:shd w:val="clear" w:color="auto" w:fill="FFFFFF"/>
          <w:lang w:val="en-GB"/>
        </w:rPr>
        <w:t>, 2014, n.p</w:t>
      </w:r>
      <w:r w:rsidRPr="005C6929">
        <w:rPr>
          <w:rFonts w:ascii="Verdana" w:hAnsi="Verdana" w:cs="Tahoma"/>
          <w:color w:val="393939"/>
          <w:sz w:val="18"/>
          <w:szCs w:val="18"/>
          <w:shd w:val="clear" w:color="auto" w:fill="FFFFFF"/>
          <w:lang w:val="en-GB"/>
        </w:rPr>
        <w:t xml:space="preserve">. </w:t>
      </w:r>
      <w:hyperlink r:id="rId1" w:history="1">
        <w:r w:rsidRPr="005C6929">
          <w:rPr>
            <w:rStyle w:val="Hipervnculo"/>
            <w:rFonts w:ascii="Verdana" w:hAnsi="Verdana" w:cs="Tahoma"/>
            <w:sz w:val="18"/>
            <w:szCs w:val="18"/>
            <w:shd w:val="clear" w:color="auto" w:fill="FFFFFF"/>
            <w:lang w:val="en-GB"/>
          </w:rPr>
          <w:t>http://www.ieneproject.eu/glossary-term.php?termID=11</w:t>
        </w:r>
      </w:hyperlink>
      <w:r w:rsidRPr="005C6929">
        <w:rPr>
          <w:rFonts w:ascii="Verdana" w:hAnsi="Verdana" w:cs="Tahoma"/>
          <w:color w:val="393939"/>
          <w:sz w:val="18"/>
          <w:szCs w:val="18"/>
          <w:shd w:val="clear" w:color="auto" w:fill="FFFFFF"/>
          <w:lang w:val="en-GB"/>
        </w:rPr>
        <w:t xml:space="preserve"> </w:t>
      </w:r>
      <w:r w:rsidRPr="005C6929">
        <w:rPr>
          <w:rFonts w:ascii="Verdana" w:hAnsi="Verdana" w:cs="Tahoma"/>
          <w:sz w:val="18"/>
          <w:szCs w:val="18"/>
          <w:shd w:val="clear" w:color="auto" w:fill="FFFFFF"/>
          <w:lang w:val="en-GB"/>
        </w:rPr>
        <w:t xml:space="preserve">(retrieved: March 5, 2015). </w:t>
      </w:r>
    </w:p>
  </w:footnote>
  <w:footnote w:id="2">
    <w:p w:rsidR="001663A0" w:rsidRPr="005C6929" w:rsidRDefault="001663A0" w:rsidP="005C6929">
      <w:pPr>
        <w:pStyle w:val="Textonotapie"/>
        <w:rPr>
          <w:rFonts w:ascii="Verdana" w:hAnsi="Verdana"/>
          <w:sz w:val="18"/>
          <w:szCs w:val="18"/>
          <w:lang w:val="en-GB"/>
        </w:rPr>
      </w:pPr>
      <w:r w:rsidRPr="005C6929">
        <w:rPr>
          <w:rStyle w:val="Refdenotaalpie"/>
          <w:rFonts w:ascii="Verdana" w:hAnsi="Verdana" w:cs="Arial"/>
          <w:sz w:val="18"/>
          <w:szCs w:val="18"/>
        </w:rPr>
        <w:footnoteRef/>
      </w:r>
      <w:r w:rsidRPr="005C6929">
        <w:rPr>
          <w:rFonts w:ascii="Verdana" w:hAnsi="Verdana" w:cs="Arial"/>
          <w:sz w:val="18"/>
          <w:szCs w:val="18"/>
          <w:lang w:val="en-GB"/>
        </w:rPr>
        <w:t xml:space="preserve"> </w:t>
      </w:r>
      <w:r w:rsidRPr="005C6929">
        <w:rPr>
          <w:rFonts w:ascii="Verdana" w:hAnsi="Verdana"/>
          <w:sz w:val="18"/>
          <w:szCs w:val="18"/>
          <w:lang w:val="en-GB"/>
        </w:rPr>
        <w:t xml:space="preserve">UNESCO, United Nations Educational, Scientific and Cultural Organization. Intercultural Competences. Conceptual and Operational Framework. </w:t>
      </w:r>
      <w:smartTag w:uri="urn:schemas-microsoft-com:office:smarttags" w:element="place">
        <w:smartTag w:uri="urn:schemas-microsoft-com:office:smarttags" w:element="City">
          <w:r w:rsidRPr="005C6929">
            <w:rPr>
              <w:rFonts w:ascii="Verdana" w:hAnsi="Verdana"/>
              <w:sz w:val="18"/>
              <w:szCs w:val="18"/>
              <w:lang w:val="en-GB"/>
            </w:rPr>
            <w:t>Paris</w:t>
          </w:r>
        </w:smartTag>
      </w:smartTag>
      <w:r w:rsidRPr="005C6929">
        <w:rPr>
          <w:rFonts w:ascii="Verdana" w:hAnsi="Verdana"/>
          <w:sz w:val="18"/>
          <w:szCs w:val="18"/>
          <w:lang w:val="en-GB"/>
        </w:rPr>
        <w:t>: UNESCO, 2013, p. 16</w:t>
      </w:r>
    </w:p>
    <w:p w:rsidR="001663A0" w:rsidRPr="00F906FB" w:rsidRDefault="00425730" w:rsidP="005C6929">
      <w:pPr>
        <w:pStyle w:val="Textonotapie"/>
        <w:rPr>
          <w:lang w:val="en-US"/>
        </w:rPr>
      </w:pPr>
      <w:hyperlink r:id="rId2" w:history="1">
        <w:r w:rsidR="001663A0" w:rsidRPr="005C6929">
          <w:rPr>
            <w:rStyle w:val="Hipervnculo"/>
            <w:rFonts w:ascii="Verdana" w:hAnsi="Verdana"/>
            <w:sz w:val="18"/>
            <w:szCs w:val="18"/>
            <w:lang w:val="en-GB"/>
          </w:rPr>
          <w:t>http://unesdoc.unesco.org/images/0021/002197/219768e.pdf</w:t>
        </w:r>
      </w:hyperlink>
      <w:r w:rsidR="001663A0" w:rsidRPr="005C6929">
        <w:rPr>
          <w:rFonts w:ascii="Verdana" w:hAnsi="Verdana"/>
          <w:sz w:val="18"/>
          <w:szCs w:val="18"/>
          <w:lang w:val="en-GB"/>
        </w:rPr>
        <w:t xml:space="preserve"> (retrieved: March 5, 2015). </w:t>
      </w:r>
    </w:p>
  </w:footnote>
  <w:footnote w:id="3">
    <w:p w:rsidR="001663A0" w:rsidRPr="005C6929" w:rsidRDefault="001663A0" w:rsidP="005C6929">
      <w:pPr>
        <w:pStyle w:val="Textonotapie"/>
        <w:rPr>
          <w:rFonts w:ascii="Verdana" w:hAnsi="Verdana"/>
          <w:sz w:val="18"/>
          <w:szCs w:val="18"/>
          <w:lang w:val="en-GB"/>
        </w:rPr>
      </w:pPr>
      <w:r w:rsidRPr="005C6929">
        <w:rPr>
          <w:rStyle w:val="Refdenotaalpie"/>
          <w:rFonts w:ascii="Verdana" w:hAnsi="Verdana" w:cs="Arial"/>
          <w:sz w:val="18"/>
          <w:szCs w:val="18"/>
        </w:rPr>
        <w:footnoteRef/>
      </w:r>
      <w:r w:rsidRPr="005C6929">
        <w:rPr>
          <w:rFonts w:ascii="Verdana" w:hAnsi="Verdana" w:cs="Arial"/>
          <w:sz w:val="18"/>
          <w:szCs w:val="18"/>
          <w:lang w:val="en-US"/>
        </w:rPr>
        <w:t xml:space="preserve"> </w:t>
      </w:r>
      <w:r w:rsidRPr="005C6929">
        <w:rPr>
          <w:rFonts w:ascii="Verdana" w:hAnsi="Verdana"/>
          <w:sz w:val="18"/>
          <w:szCs w:val="18"/>
          <w:lang w:val="en-GB"/>
        </w:rPr>
        <w:t xml:space="preserve">UNESCO, United Nations Educational, Scientific and Cultural Organization. UNESCO Universal Declaration on Cultural Diversity. </w:t>
      </w:r>
      <w:smartTag w:uri="urn:schemas-microsoft-com:office:smarttags" w:element="place">
        <w:smartTag w:uri="urn:schemas-microsoft-com:office:smarttags" w:element="City">
          <w:r w:rsidRPr="005C6929">
            <w:rPr>
              <w:rFonts w:ascii="Verdana" w:hAnsi="Verdana"/>
              <w:sz w:val="18"/>
              <w:szCs w:val="18"/>
              <w:lang w:val="en-GB"/>
            </w:rPr>
            <w:t>Paris</w:t>
          </w:r>
        </w:smartTag>
      </w:smartTag>
      <w:r w:rsidRPr="005C6929">
        <w:rPr>
          <w:rFonts w:ascii="Verdana" w:hAnsi="Verdana"/>
          <w:sz w:val="18"/>
          <w:szCs w:val="18"/>
          <w:lang w:val="en-GB"/>
        </w:rPr>
        <w:t>: UNESCO, 2001, p. 4.</w:t>
      </w:r>
    </w:p>
    <w:p w:rsidR="001663A0" w:rsidRPr="00F906FB" w:rsidRDefault="00425730" w:rsidP="005C6929">
      <w:pPr>
        <w:pStyle w:val="Textonotapie"/>
        <w:rPr>
          <w:lang w:val="en-GB"/>
        </w:rPr>
      </w:pPr>
      <w:hyperlink r:id="rId3" w:history="1">
        <w:r w:rsidR="001663A0" w:rsidRPr="005C6929">
          <w:rPr>
            <w:rStyle w:val="Hipervnculo"/>
            <w:rFonts w:ascii="Verdana" w:hAnsi="Verdana"/>
            <w:sz w:val="18"/>
            <w:szCs w:val="18"/>
            <w:lang w:val="en-GB"/>
          </w:rPr>
          <w:t>http://unesdoc.unesco.org/images/0012/001271/127162e.pdf</w:t>
        </w:r>
      </w:hyperlink>
      <w:r w:rsidR="001663A0" w:rsidRPr="005C6929">
        <w:rPr>
          <w:rFonts w:ascii="Verdana" w:hAnsi="Verdana"/>
          <w:sz w:val="18"/>
          <w:szCs w:val="18"/>
          <w:lang w:val="en-GB"/>
        </w:rPr>
        <w:t xml:space="preserve"> (retrieved: March 5, 2015). </w:t>
      </w:r>
    </w:p>
  </w:footnote>
  <w:footnote w:id="4">
    <w:p w:rsidR="001663A0" w:rsidRPr="00F906FB" w:rsidRDefault="001663A0" w:rsidP="005C6929">
      <w:pPr>
        <w:pStyle w:val="Textonotapie"/>
        <w:rPr>
          <w:lang w:val="en-GB"/>
        </w:rPr>
      </w:pPr>
      <w:r w:rsidRPr="005C6929">
        <w:rPr>
          <w:rStyle w:val="Refdenotaalpie"/>
          <w:rFonts w:ascii="Verdana" w:hAnsi="Verdana" w:cs="Arial"/>
          <w:sz w:val="18"/>
          <w:szCs w:val="18"/>
        </w:rPr>
        <w:footnoteRef/>
      </w:r>
      <w:r w:rsidRPr="005C6929">
        <w:rPr>
          <w:rFonts w:ascii="Verdana" w:hAnsi="Verdana" w:cs="Arial"/>
          <w:sz w:val="18"/>
          <w:szCs w:val="18"/>
          <w:lang w:val="en-US"/>
        </w:rPr>
        <w:t xml:space="preserve"> UNESCO 2001, op. cit., p. 4.</w:t>
      </w:r>
    </w:p>
  </w:footnote>
  <w:footnote w:id="5">
    <w:p w:rsidR="001663A0" w:rsidRPr="005C6929" w:rsidRDefault="001663A0" w:rsidP="005C6929">
      <w:pPr>
        <w:pStyle w:val="Textonotapie"/>
        <w:rPr>
          <w:rFonts w:ascii="Verdana" w:hAnsi="Verdana"/>
          <w:sz w:val="18"/>
          <w:szCs w:val="18"/>
          <w:lang w:val="en-GB"/>
        </w:rPr>
      </w:pPr>
      <w:r w:rsidRPr="005C6929">
        <w:rPr>
          <w:rStyle w:val="Refdenotaalpie"/>
          <w:rFonts w:ascii="Verdana" w:hAnsi="Verdana" w:cs="Arial"/>
          <w:sz w:val="18"/>
          <w:szCs w:val="18"/>
        </w:rPr>
        <w:footnoteRef/>
      </w:r>
      <w:r w:rsidRPr="005C6929">
        <w:rPr>
          <w:rFonts w:ascii="Verdana" w:hAnsi="Verdana" w:cs="Arial"/>
          <w:sz w:val="18"/>
          <w:szCs w:val="18"/>
          <w:lang w:val="en-GB"/>
        </w:rPr>
        <w:t xml:space="preserve"> </w:t>
      </w:r>
      <w:r w:rsidRPr="005C6929">
        <w:rPr>
          <w:rFonts w:ascii="Verdana" w:hAnsi="Verdana"/>
          <w:sz w:val="18"/>
          <w:szCs w:val="18"/>
          <w:lang w:val="en-GB"/>
        </w:rPr>
        <w:t xml:space="preserve">WHO, World Health Organization. WHO’s Contribution to the World Conference Against Racism, Racial Discrimination, Xenophobia and Related Intolerance. Health and freedom from discrimination. Health &amp; Human Rights Publication Series Issue No. 2, </w:t>
      </w:r>
      <w:smartTag w:uri="urn:schemas-microsoft-com:office:smarttags" w:element="place">
        <w:smartTag w:uri="urn:schemas-microsoft-com:office:smarttags" w:element="City">
          <w:r w:rsidRPr="005C6929">
            <w:rPr>
              <w:rFonts w:ascii="Verdana" w:hAnsi="Verdana"/>
              <w:sz w:val="18"/>
              <w:szCs w:val="18"/>
              <w:lang w:val="en-GB"/>
            </w:rPr>
            <w:t>Geneva</w:t>
          </w:r>
        </w:smartTag>
      </w:smartTag>
      <w:r w:rsidRPr="005C6929">
        <w:rPr>
          <w:rFonts w:ascii="Verdana" w:hAnsi="Verdana"/>
          <w:sz w:val="18"/>
          <w:szCs w:val="18"/>
          <w:lang w:val="en-GB"/>
        </w:rPr>
        <w:t>: WHO, 2001, p. 8.</w:t>
      </w:r>
    </w:p>
    <w:p w:rsidR="001663A0" w:rsidRPr="00F906FB" w:rsidRDefault="00425730" w:rsidP="005C6929">
      <w:pPr>
        <w:pStyle w:val="Textonotapie"/>
        <w:rPr>
          <w:lang w:val="en-US"/>
        </w:rPr>
      </w:pPr>
      <w:hyperlink r:id="rId4" w:history="1">
        <w:r w:rsidR="001663A0" w:rsidRPr="005C6929">
          <w:rPr>
            <w:rStyle w:val="Hipervnculo"/>
            <w:rFonts w:ascii="Verdana" w:hAnsi="Verdana"/>
            <w:sz w:val="18"/>
            <w:szCs w:val="18"/>
            <w:lang w:val="en-GB"/>
          </w:rPr>
          <w:t>http://www.who.int/hhr/activities/q_and_a/en/Health_and_Freedom_from_Discrimination_English_699KB.pdf</w:t>
        </w:r>
      </w:hyperlink>
      <w:r w:rsidR="001663A0" w:rsidRPr="005C6929">
        <w:rPr>
          <w:rFonts w:ascii="Verdana" w:hAnsi="Verdana"/>
          <w:sz w:val="18"/>
          <w:szCs w:val="18"/>
          <w:lang w:val="en-GB"/>
        </w:rPr>
        <w:t xml:space="preserve"> (retrieved: March 5, 2015).</w:t>
      </w:r>
    </w:p>
  </w:footnote>
  <w:footnote w:id="6">
    <w:p w:rsidR="001663A0" w:rsidRPr="00F906FB" w:rsidRDefault="001663A0" w:rsidP="005C6929">
      <w:pPr>
        <w:pStyle w:val="Textonotapie"/>
        <w:rPr>
          <w:lang w:val="en-US"/>
        </w:rPr>
      </w:pPr>
      <w:r w:rsidRPr="005C6929">
        <w:rPr>
          <w:rStyle w:val="Refdenotaalpie"/>
          <w:rFonts w:ascii="Verdana" w:hAnsi="Verdana"/>
          <w:sz w:val="18"/>
          <w:szCs w:val="18"/>
        </w:rPr>
        <w:footnoteRef/>
      </w:r>
      <w:r w:rsidRPr="005C6929">
        <w:rPr>
          <w:rFonts w:ascii="Verdana" w:hAnsi="Verdana"/>
          <w:sz w:val="18"/>
          <w:szCs w:val="18"/>
          <w:lang w:val="en-GB"/>
        </w:rPr>
        <w:t xml:space="preserve"> Council of </w:t>
      </w:r>
      <w:smartTag w:uri="urn:schemas-microsoft-com:office:smarttags" w:element="place">
        <w:r w:rsidRPr="005C6929">
          <w:rPr>
            <w:rFonts w:ascii="Verdana" w:hAnsi="Verdana"/>
            <w:sz w:val="18"/>
            <w:szCs w:val="18"/>
            <w:lang w:val="en-GB"/>
          </w:rPr>
          <w:t>Europe</w:t>
        </w:r>
      </w:smartTag>
      <w:r w:rsidRPr="005C6929">
        <w:rPr>
          <w:rFonts w:ascii="Verdana" w:hAnsi="Verdana"/>
          <w:sz w:val="18"/>
          <w:szCs w:val="18"/>
          <w:lang w:val="en-GB"/>
        </w:rPr>
        <w:t xml:space="preserve">. Recommendation Rec2006(18) of the Committee of Ministers to Member States on health services in a multicultural society, 2006, n.p. </w:t>
      </w:r>
      <w:hyperlink r:id="rId5" w:history="1">
        <w:r w:rsidRPr="005C6929">
          <w:rPr>
            <w:rStyle w:val="Hipervnculo"/>
            <w:rFonts w:ascii="Verdana" w:hAnsi="Verdana"/>
            <w:sz w:val="18"/>
            <w:szCs w:val="18"/>
            <w:lang w:val="en-GB"/>
          </w:rPr>
          <w:t>https://wcd.coe.int/ViewDoc.jsp?id=1062769&amp;BackC</w:t>
        </w:r>
      </w:hyperlink>
      <w:r w:rsidRPr="005C6929">
        <w:rPr>
          <w:rFonts w:ascii="Verdana" w:hAnsi="Verdana"/>
          <w:sz w:val="18"/>
          <w:szCs w:val="18"/>
          <w:lang w:val="en-GB"/>
        </w:rPr>
        <w:t xml:space="preserve"> (retrieved: March 5, 2015).</w:t>
      </w:r>
    </w:p>
  </w:footnote>
  <w:footnote w:id="7">
    <w:p w:rsidR="001663A0" w:rsidRPr="00F906FB" w:rsidRDefault="001663A0" w:rsidP="005C6929">
      <w:pPr>
        <w:pStyle w:val="Textonotapie"/>
        <w:rPr>
          <w:lang w:val="en-US"/>
        </w:rPr>
      </w:pPr>
      <w:r w:rsidRPr="005C6929">
        <w:rPr>
          <w:rStyle w:val="Refdenotaalpie"/>
          <w:rFonts w:ascii="Verdana" w:hAnsi="Verdana"/>
          <w:sz w:val="18"/>
          <w:szCs w:val="18"/>
        </w:rPr>
        <w:footnoteRef/>
      </w:r>
      <w:r w:rsidRPr="005C6929">
        <w:rPr>
          <w:rFonts w:ascii="Verdana" w:hAnsi="Verdana"/>
          <w:sz w:val="18"/>
          <w:szCs w:val="18"/>
          <w:lang w:val="en-GB"/>
        </w:rPr>
        <w:t xml:space="preserve"> Council of Europe 2006, op. cit., n.p.</w:t>
      </w:r>
    </w:p>
  </w:footnote>
  <w:footnote w:id="8">
    <w:p w:rsidR="001663A0" w:rsidRPr="00F906FB" w:rsidRDefault="001663A0" w:rsidP="0043317B">
      <w:pPr>
        <w:pStyle w:val="Textonotapie"/>
        <w:jc w:val="both"/>
        <w:rPr>
          <w:lang w:val="en-US"/>
        </w:rPr>
      </w:pPr>
      <w:r w:rsidRPr="005C6929">
        <w:rPr>
          <w:rStyle w:val="Refdenotaalpie"/>
          <w:rFonts w:ascii="Verdana" w:hAnsi="Verdana"/>
          <w:sz w:val="18"/>
          <w:szCs w:val="18"/>
        </w:rPr>
        <w:footnoteRef/>
      </w:r>
      <w:r w:rsidRPr="005C6929">
        <w:rPr>
          <w:rFonts w:ascii="Verdana" w:hAnsi="Verdana"/>
          <w:sz w:val="18"/>
          <w:szCs w:val="18"/>
          <w:lang w:val="en-US"/>
        </w:rPr>
        <w:t xml:space="preserve"> </w:t>
      </w:r>
      <w:r w:rsidRPr="005C6929">
        <w:rPr>
          <w:rFonts w:ascii="Verdana" w:hAnsi="Verdana"/>
          <w:sz w:val="18"/>
          <w:szCs w:val="18"/>
          <w:lang w:val="en-GB"/>
        </w:rPr>
        <w:t xml:space="preserve">Renschler  I, Cattacin S. Comprehensive ‘difference sensitivity’ in health systems. In: Bjorngren-Cuadra C, Cattacin S (eds). </w:t>
      </w:r>
      <w:r w:rsidRPr="005C6929">
        <w:rPr>
          <w:rFonts w:ascii="Verdana" w:hAnsi="Verdana"/>
          <w:iCs/>
          <w:sz w:val="18"/>
          <w:szCs w:val="18"/>
          <w:lang w:val="en-GB"/>
        </w:rPr>
        <w:t>Migration and Health: difference sensitivity from an organizational perspective, p. 37-41</w:t>
      </w:r>
      <w:r w:rsidRPr="005C6929">
        <w:rPr>
          <w:rFonts w:ascii="Verdana" w:hAnsi="Verdana"/>
          <w:sz w:val="18"/>
          <w:szCs w:val="18"/>
          <w:lang w:val="en-GB"/>
        </w:rPr>
        <w:t xml:space="preserve">. </w:t>
      </w:r>
      <w:smartTag w:uri="urn:schemas-microsoft-com:office:smarttags" w:element="place">
        <w:smartTag w:uri="urn:schemas-microsoft-com:office:smarttags" w:element="City">
          <w:r w:rsidRPr="005C6929">
            <w:rPr>
              <w:rFonts w:ascii="Verdana" w:hAnsi="Verdana"/>
              <w:sz w:val="18"/>
              <w:szCs w:val="18"/>
              <w:lang w:val="en-GB"/>
            </w:rPr>
            <w:t>Malmo</w:t>
          </w:r>
        </w:smartTag>
      </w:smartTag>
      <w:r w:rsidRPr="005C6929">
        <w:rPr>
          <w:rFonts w:ascii="Verdana" w:hAnsi="Verdana"/>
          <w:sz w:val="18"/>
          <w:szCs w:val="18"/>
          <w:lang w:val="en-GB"/>
        </w:rPr>
        <w:t>: IMER, 2007.</w:t>
      </w:r>
    </w:p>
  </w:footnote>
  <w:footnote w:id="9">
    <w:p w:rsidR="001663A0" w:rsidRPr="00F906FB" w:rsidRDefault="001663A0" w:rsidP="0043317B">
      <w:pPr>
        <w:pStyle w:val="Textonotapie"/>
        <w:jc w:val="both"/>
        <w:rPr>
          <w:lang w:val="en-US"/>
        </w:rPr>
      </w:pPr>
      <w:r w:rsidRPr="005C6929">
        <w:rPr>
          <w:rStyle w:val="Refdenotaalpie"/>
          <w:rFonts w:ascii="Verdana" w:hAnsi="Verdana"/>
          <w:sz w:val="18"/>
          <w:szCs w:val="18"/>
        </w:rPr>
        <w:footnoteRef/>
      </w:r>
      <w:r w:rsidRPr="005C6929">
        <w:rPr>
          <w:rFonts w:ascii="Verdana" w:hAnsi="Verdana"/>
          <w:sz w:val="18"/>
          <w:szCs w:val="18"/>
          <w:lang w:val="en-GB"/>
        </w:rPr>
        <w:t xml:space="preserve"> Chiarenza A. Developments in the concept of 'cultural competence'. </w:t>
      </w:r>
      <w:r w:rsidRPr="005C6929">
        <w:rPr>
          <w:rFonts w:ascii="Verdana" w:hAnsi="Verdana"/>
          <w:sz w:val="18"/>
          <w:szCs w:val="18"/>
          <w:lang w:val="it-IT"/>
        </w:rPr>
        <w:t xml:space="preserve">In: Ingleby D, Chiarenza A, Devillé W, Kotsioni I (eds). </w:t>
      </w:r>
      <w:r w:rsidRPr="005C6929">
        <w:rPr>
          <w:rFonts w:ascii="Verdana" w:hAnsi="Verdana"/>
          <w:iCs/>
          <w:sz w:val="18"/>
          <w:szCs w:val="18"/>
          <w:lang w:val="en-GB"/>
        </w:rPr>
        <w:t>Inequalities in health care for migrants and ethnic minorities</w:t>
      </w:r>
      <w:r w:rsidRPr="005C6929">
        <w:rPr>
          <w:rFonts w:ascii="Verdana" w:hAnsi="Verdana"/>
          <w:sz w:val="18"/>
          <w:szCs w:val="18"/>
          <w:lang w:val="en-GB"/>
        </w:rPr>
        <w:t xml:space="preserve">, Vol. 2, p. 66-81. COST Series on Health and Diversity. </w:t>
      </w:r>
      <w:smartTag w:uri="urn:schemas-microsoft-com:office:smarttags" w:element="place">
        <w:smartTag w:uri="urn:schemas-microsoft-com:office:smarttags" w:element="City">
          <w:r w:rsidRPr="005C6929">
            <w:rPr>
              <w:rFonts w:ascii="Verdana" w:hAnsi="Verdana"/>
              <w:sz w:val="18"/>
              <w:szCs w:val="18"/>
              <w:lang w:val="en-GB"/>
            </w:rPr>
            <w:t>Antwerp</w:t>
          </w:r>
        </w:smartTag>
      </w:smartTag>
      <w:r w:rsidRPr="005C6929">
        <w:rPr>
          <w:rFonts w:ascii="Verdana" w:hAnsi="Verdana"/>
          <w:sz w:val="18"/>
          <w:szCs w:val="18"/>
          <w:lang w:val="en-GB"/>
        </w:rPr>
        <w:t>: Garant Publishers, 2012.</w:t>
      </w:r>
    </w:p>
  </w:footnote>
  <w:footnote w:id="10">
    <w:p w:rsidR="001663A0" w:rsidRPr="00F906FB" w:rsidRDefault="001663A0" w:rsidP="0043317B">
      <w:pPr>
        <w:pStyle w:val="Textonotapie"/>
        <w:jc w:val="both"/>
        <w:rPr>
          <w:lang w:val="en-US"/>
        </w:rPr>
      </w:pPr>
      <w:r w:rsidRPr="005C6929">
        <w:rPr>
          <w:rStyle w:val="Refdenotaalpie"/>
          <w:rFonts w:ascii="Verdana" w:hAnsi="Verdana"/>
          <w:sz w:val="18"/>
          <w:szCs w:val="18"/>
        </w:rPr>
        <w:footnoteRef/>
      </w:r>
      <w:r w:rsidRPr="005C6929">
        <w:rPr>
          <w:rFonts w:ascii="Verdana" w:hAnsi="Verdana"/>
          <w:sz w:val="18"/>
          <w:szCs w:val="18"/>
          <w:lang w:val="en-US"/>
        </w:rPr>
        <w:t xml:space="preserve"> </w:t>
      </w:r>
      <w:r w:rsidRPr="005C6929">
        <w:rPr>
          <w:rFonts w:ascii="Verdana" w:hAnsi="Verdana"/>
          <w:sz w:val="18"/>
          <w:szCs w:val="18"/>
          <w:lang w:val="en-GB"/>
        </w:rPr>
        <w:t>Cattacin S, Chiarenza A, Domenig D. Equity standards for healthcare organisations: a theoretical framework. Diversity and Equality in Health and Care 2013;10:249-258.</w:t>
      </w:r>
    </w:p>
  </w:footnote>
  <w:footnote w:id="11">
    <w:p w:rsidR="001663A0" w:rsidRPr="00F906FB" w:rsidRDefault="001663A0" w:rsidP="005C6929">
      <w:pPr>
        <w:pStyle w:val="Textonotapie"/>
        <w:jc w:val="both"/>
        <w:rPr>
          <w:lang w:val="en-US"/>
        </w:rPr>
      </w:pPr>
      <w:r w:rsidRPr="005C6929">
        <w:rPr>
          <w:rStyle w:val="Refdenotaalpie"/>
          <w:rFonts w:ascii="Verdana" w:hAnsi="Verdana"/>
          <w:sz w:val="18"/>
          <w:szCs w:val="18"/>
        </w:rPr>
        <w:footnoteRef/>
      </w:r>
      <w:r w:rsidRPr="005C6929">
        <w:rPr>
          <w:rFonts w:ascii="Verdana" w:hAnsi="Verdana"/>
          <w:sz w:val="18"/>
          <w:szCs w:val="18"/>
          <w:lang w:val="en-US"/>
        </w:rPr>
        <w:t xml:space="preserve"> </w:t>
      </w:r>
      <w:r w:rsidRPr="005C6929">
        <w:rPr>
          <w:rFonts w:ascii="Verdana" w:hAnsi="Verdana"/>
          <w:sz w:val="18"/>
          <w:szCs w:val="18"/>
          <w:lang w:val="en-GB"/>
        </w:rPr>
        <w:t xml:space="preserve">Mock-Muñoz de Luna C, Ingleby D, Graval E, Krasnik A. Synthesis Report. MEM-TP, Training packages for health professionals to improve access and quality of health services for migrants and ethnic minorities, including the Roma. </w:t>
      </w:r>
      <w:smartTag w:uri="urn:schemas-microsoft-com:office:smarttags" w:element="City">
        <w:r w:rsidRPr="005C6929">
          <w:rPr>
            <w:rFonts w:ascii="Verdana" w:hAnsi="Verdana"/>
            <w:sz w:val="18"/>
            <w:szCs w:val="18"/>
            <w:lang w:val="en-GB"/>
          </w:rPr>
          <w:t>Granada</w:t>
        </w:r>
      </w:smartTag>
      <w:r w:rsidRPr="005C6929">
        <w:rPr>
          <w:rFonts w:ascii="Verdana" w:hAnsi="Verdana"/>
          <w:sz w:val="18"/>
          <w:szCs w:val="18"/>
          <w:lang w:val="en-GB"/>
        </w:rPr>
        <w:t xml:space="preserve">, </w:t>
      </w:r>
      <w:smartTag w:uri="urn:schemas-microsoft-com:office:smarttags" w:element="City">
        <w:r w:rsidRPr="005C6929">
          <w:rPr>
            <w:rFonts w:ascii="Verdana" w:hAnsi="Verdana"/>
            <w:sz w:val="18"/>
            <w:szCs w:val="18"/>
            <w:lang w:val="en-GB"/>
          </w:rPr>
          <w:t>Copenhagen</w:t>
        </w:r>
      </w:smartTag>
      <w:r w:rsidRPr="005C6929">
        <w:rPr>
          <w:rFonts w:ascii="Verdana" w:hAnsi="Verdana"/>
          <w:sz w:val="18"/>
          <w:szCs w:val="18"/>
          <w:lang w:val="en-GB"/>
        </w:rPr>
        <w:t xml:space="preserve">: </w:t>
      </w:r>
      <w:smartTag w:uri="urn:schemas-microsoft-com:office:smarttags" w:element="PlaceName">
        <w:r w:rsidRPr="005C6929">
          <w:rPr>
            <w:rFonts w:ascii="Verdana" w:hAnsi="Verdana"/>
            <w:sz w:val="18"/>
            <w:szCs w:val="18"/>
            <w:lang w:val="en-GB"/>
          </w:rPr>
          <w:t>Andalusian</w:t>
        </w:r>
      </w:smartTag>
      <w:r w:rsidRPr="005C6929">
        <w:rPr>
          <w:rFonts w:ascii="Verdana" w:hAnsi="Verdana"/>
          <w:sz w:val="18"/>
          <w:szCs w:val="18"/>
          <w:lang w:val="en-GB"/>
        </w:rPr>
        <w:t xml:space="preserve"> </w:t>
      </w:r>
      <w:smartTag w:uri="urn:schemas-microsoft-com:office:smarttags" w:element="PlaceType">
        <w:r w:rsidRPr="005C6929">
          <w:rPr>
            <w:rFonts w:ascii="Verdana" w:hAnsi="Verdana"/>
            <w:sz w:val="18"/>
            <w:szCs w:val="18"/>
            <w:lang w:val="en-GB"/>
          </w:rPr>
          <w:t>School</w:t>
        </w:r>
      </w:smartTag>
      <w:r w:rsidRPr="005C6929">
        <w:rPr>
          <w:rFonts w:ascii="Verdana" w:hAnsi="Verdana"/>
          <w:sz w:val="18"/>
          <w:szCs w:val="18"/>
          <w:lang w:val="en-GB"/>
        </w:rPr>
        <w:t xml:space="preserve"> of Public Health, University of </w:t>
      </w:r>
      <w:smartTag w:uri="urn:schemas-microsoft-com:office:smarttags" w:element="place">
        <w:smartTag w:uri="urn:schemas-microsoft-com:office:smarttags" w:element="City">
          <w:r w:rsidRPr="005C6929">
            <w:rPr>
              <w:rFonts w:ascii="Verdana" w:hAnsi="Verdana"/>
              <w:sz w:val="18"/>
              <w:szCs w:val="18"/>
              <w:lang w:val="en-GB"/>
            </w:rPr>
            <w:t>Copenhagen</w:t>
          </w:r>
        </w:smartTag>
      </w:smartTag>
      <w:r w:rsidRPr="005C6929">
        <w:rPr>
          <w:rFonts w:ascii="Verdana" w:hAnsi="Verdana"/>
          <w:sz w:val="18"/>
          <w:szCs w:val="18"/>
          <w:lang w:val="en-GB"/>
        </w:rPr>
        <w:t xml:space="preserve">, 2015a, p. 13. </w:t>
      </w:r>
      <w:hyperlink r:id="rId6" w:history="1">
        <w:r w:rsidRPr="005C6929">
          <w:rPr>
            <w:rStyle w:val="Hipervnculo"/>
            <w:rFonts w:ascii="Verdana" w:hAnsi="Verdana"/>
            <w:sz w:val="18"/>
            <w:szCs w:val="18"/>
            <w:lang w:val="en-GB"/>
          </w:rPr>
          <w:t>http://www.mem-tp.org/pluginfile.php/619/mod_resource/content/1/MEM-TP_Synthesis_Report.pdf</w:t>
        </w:r>
      </w:hyperlink>
      <w:r w:rsidRPr="005C6929">
        <w:rPr>
          <w:rFonts w:ascii="Verdana" w:hAnsi="Verdana"/>
          <w:sz w:val="18"/>
          <w:szCs w:val="18"/>
          <w:lang w:val="en-GB"/>
        </w:rPr>
        <w:t xml:space="preserve"> (retrieved: March 5, 2015). </w:t>
      </w:r>
    </w:p>
  </w:footnote>
  <w:footnote w:id="12">
    <w:p w:rsidR="001663A0" w:rsidRPr="00F906FB" w:rsidRDefault="001663A0" w:rsidP="005C6929">
      <w:pPr>
        <w:pStyle w:val="Textonotapie"/>
        <w:rPr>
          <w:lang w:val="en-US"/>
        </w:rPr>
      </w:pPr>
      <w:r w:rsidRPr="005C6929">
        <w:rPr>
          <w:rStyle w:val="Refdenotaalpie"/>
          <w:rFonts w:ascii="Verdana" w:hAnsi="Verdana"/>
          <w:sz w:val="18"/>
          <w:szCs w:val="18"/>
        </w:rPr>
        <w:footnoteRef/>
      </w:r>
      <w:r w:rsidRPr="005C6929">
        <w:rPr>
          <w:rFonts w:ascii="Verdana" w:hAnsi="Verdana"/>
          <w:sz w:val="18"/>
          <w:szCs w:val="18"/>
          <w:lang w:val="en-GB"/>
        </w:rPr>
        <w:t xml:space="preserve"> UN, United Nations. International Covenant on Economic, Social and Cultural Rights, 1966 [1976]. </w:t>
      </w:r>
      <w:hyperlink r:id="rId7" w:history="1">
        <w:r w:rsidRPr="005C6929">
          <w:rPr>
            <w:rStyle w:val="Hipervnculo"/>
            <w:rFonts w:ascii="Verdana" w:hAnsi="Verdana"/>
            <w:sz w:val="18"/>
            <w:szCs w:val="18"/>
            <w:lang w:val="en-GB"/>
          </w:rPr>
          <w:t>http://www.ohchr.org/EN/ProfessionalInterest/Pages/CESCR.aspx</w:t>
        </w:r>
      </w:hyperlink>
      <w:r w:rsidRPr="005C6929">
        <w:rPr>
          <w:rFonts w:ascii="Verdana" w:hAnsi="Verdana"/>
          <w:sz w:val="18"/>
          <w:szCs w:val="18"/>
          <w:lang w:val="en-GB"/>
        </w:rPr>
        <w:t xml:space="preserve"> (retrieved: March 5, 2015). </w:t>
      </w:r>
    </w:p>
  </w:footnote>
  <w:footnote w:id="13">
    <w:p w:rsidR="001663A0" w:rsidRPr="005C6929" w:rsidRDefault="001663A0" w:rsidP="005C6929">
      <w:pPr>
        <w:pStyle w:val="Textonotapie"/>
        <w:rPr>
          <w:rFonts w:ascii="Verdana" w:hAnsi="Verdana"/>
          <w:sz w:val="18"/>
          <w:szCs w:val="18"/>
          <w:lang w:val="en-GB"/>
        </w:rPr>
      </w:pPr>
      <w:r w:rsidRPr="005C6929">
        <w:rPr>
          <w:rStyle w:val="Refdenotaalpie"/>
          <w:rFonts w:ascii="Verdana" w:hAnsi="Verdana"/>
          <w:sz w:val="18"/>
          <w:szCs w:val="18"/>
        </w:rPr>
        <w:footnoteRef/>
      </w:r>
      <w:r w:rsidRPr="005C6929">
        <w:rPr>
          <w:rFonts w:ascii="Verdana" w:hAnsi="Verdana"/>
          <w:sz w:val="18"/>
          <w:szCs w:val="18"/>
          <w:lang w:val="en-GB"/>
        </w:rPr>
        <w:t xml:space="preserve"> CECSR, Committee on Economic, Cultural and Social Rights. General Comment Nº 14 (2000). The right to the highest attainable standard of health, p. 1-4. </w:t>
      </w:r>
    </w:p>
    <w:p w:rsidR="001663A0" w:rsidRPr="00F906FB" w:rsidRDefault="00425730" w:rsidP="005C6929">
      <w:pPr>
        <w:pStyle w:val="Textonotapie"/>
        <w:rPr>
          <w:lang w:val="en-US"/>
        </w:rPr>
      </w:pPr>
      <w:hyperlink r:id="rId8" w:history="1">
        <w:r w:rsidR="001663A0" w:rsidRPr="005C6929">
          <w:rPr>
            <w:rStyle w:val="Hipervnculo"/>
            <w:rFonts w:ascii="Verdana" w:hAnsi="Verdana"/>
            <w:sz w:val="18"/>
            <w:szCs w:val="18"/>
            <w:lang w:val="en-GB"/>
          </w:rPr>
          <w:t>http://tbinternet.ohchr.org/_layouts/treatybodyexternal/TBSearch.aspx?Lang=en&amp;TreatyID=9&amp;DocTypeID=11</w:t>
        </w:r>
      </w:hyperlink>
      <w:r w:rsidR="001663A0" w:rsidRPr="005C6929">
        <w:rPr>
          <w:rFonts w:ascii="Verdana" w:hAnsi="Verdana"/>
          <w:sz w:val="18"/>
          <w:szCs w:val="18"/>
          <w:lang w:val="en-GB"/>
        </w:rPr>
        <w:t xml:space="preserve"> (retrieved: March 5, 2015). </w:t>
      </w:r>
    </w:p>
  </w:footnote>
  <w:footnote w:id="14">
    <w:p w:rsidR="001663A0" w:rsidRPr="00F906FB" w:rsidRDefault="001663A0" w:rsidP="005C6929">
      <w:pPr>
        <w:pStyle w:val="Textonotapie"/>
        <w:rPr>
          <w:lang w:val="en-US"/>
        </w:rPr>
      </w:pPr>
      <w:r w:rsidRPr="005C6929">
        <w:rPr>
          <w:rStyle w:val="Refdenotaalpie"/>
          <w:rFonts w:ascii="Verdana" w:hAnsi="Verdana"/>
          <w:sz w:val="18"/>
          <w:szCs w:val="18"/>
        </w:rPr>
        <w:footnoteRef/>
      </w:r>
      <w:r w:rsidRPr="005C6929">
        <w:rPr>
          <w:rFonts w:ascii="Verdana" w:hAnsi="Verdana"/>
          <w:sz w:val="18"/>
          <w:szCs w:val="18"/>
          <w:lang w:val="en-GB"/>
        </w:rPr>
        <w:t xml:space="preserve"> UN, United Nations. International Convention on the Protection of the Rights of All Migrant Workers and Members of Their Families, 1990, n.p. </w:t>
      </w:r>
      <w:hyperlink r:id="rId9" w:history="1">
        <w:r w:rsidRPr="005C6929">
          <w:rPr>
            <w:rStyle w:val="Hipervnculo"/>
            <w:rFonts w:ascii="Verdana" w:hAnsi="Verdana"/>
            <w:sz w:val="18"/>
            <w:szCs w:val="18"/>
            <w:lang w:val="en-GB"/>
          </w:rPr>
          <w:t>http://www2.ohchr.org/english/bodies/cmw/cmw.htm</w:t>
        </w:r>
      </w:hyperlink>
      <w:r w:rsidRPr="005C6929">
        <w:rPr>
          <w:rFonts w:ascii="Verdana" w:hAnsi="Verdana"/>
          <w:sz w:val="18"/>
          <w:szCs w:val="18"/>
          <w:lang w:val="en-GB"/>
        </w:rPr>
        <w:t xml:space="preserve"> (retrieved: March 5, 2015). </w:t>
      </w:r>
    </w:p>
  </w:footnote>
  <w:footnote w:id="15">
    <w:p w:rsidR="001663A0" w:rsidRPr="00F906FB" w:rsidRDefault="001663A0" w:rsidP="005C6929">
      <w:pPr>
        <w:pStyle w:val="Textonotapie"/>
        <w:rPr>
          <w:lang w:val="en-US"/>
        </w:rPr>
      </w:pPr>
      <w:r w:rsidRPr="005C6929">
        <w:rPr>
          <w:rStyle w:val="Refdenotaalpie"/>
          <w:rFonts w:ascii="Verdana" w:hAnsi="Verdana"/>
          <w:sz w:val="18"/>
          <w:szCs w:val="18"/>
        </w:rPr>
        <w:footnoteRef/>
      </w:r>
      <w:r w:rsidRPr="005C6929">
        <w:rPr>
          <w:rFonts w:ascii="Verdana" w:hAnsi="Verdana"/>
          <w:sz w:val="18"/>
          <w:szCs w:val="18"/>
          <w:lang w:val="en-GB"/>
        </w:rPr>
        <w:t xml:space="preserve"> UN, United Nations. International Convention on the Elimination of All Forms of Racial Discrimination, 1965 [1969]. </w:t>
      </w:r>
      <w:hyperlink r:id="rId10" w:history="1">
        <w:r w:rsidRPr="005C6929">
          <w:rPr>
            <w:rStyle w:val="Hipervnculo"/>
            <w:rFonts w:ascii="Verdana" w:hAnsi="Verdana"/>
            <w:sz w:val="18"/>
            <w:szCs w:val="18"/>
            <w:lang w:val="en-GB"/>
          </w:rPr>
          <w:t>http://www.ohchr.org/EN/ProfessionalInterest/Pages/CERD.aspx</w:t>
        </w:r>
      </w:hyperlink>
      <w:r w:rsidRPr="005C6929">
        <w:rPr>
          <w:rFonts w:ascii="Verdana" w:hAnsi="Verdana"/>
          <w:sz w:val="18"/>
          <w:szCs w:val="18"/>
          <w:lang w:val="en-GB"/>
        </w:rPr>
        <w:t xml:space="preserve"> (retrieved: March 5, 2015). </w:t>
      </w:r>
    </w:p>
  </w:footnote>
  <w:footnote w:id="16">
    <w:p w:rsidR="001663A0" w:rsidRPr="00F906FB" w:rsidRDefault="001663A0" w:rsidP="004B3B10">
      <w:pPr>
        <w:pStyle w:val="Textonotapie"/>
        <w:jc w:val="both"/>
        <w:rPr>
          <w:lang w:val="en-US"/>
        </w:rPr>
      </w:pPr>
      <w:r w:rsidRPr="00445079">
        <w:rPr>
          <w:rStyle w:val="Refdenotaalpie"/>
          <w:sz w:val="18"/>
          <w:szCs w:val="18"/>
        </w:rPr>
        <w:footnoteRef/>
      </w:r>
      <w:r w:rsidRPr="00445079">
        <w:rPr>
          <w:sz w:val="18"/>
          <w:szCs w:val="18"/>
          <w:lang w:val="en-GB"/>
        </w:rPr>
        <w:t xml:space="preserve"> </w:t>
      </w:r>
      <w:r w:rsidRPr="00445079">
        <w:rPr>
          <w:bCs/>
          <w:sz w:val="18"/>
          <w:szCs w:val="18"/>
          <w:lang w:val="en-GB"/>
        </w:rPr>
        <w:t xml:space="preserve">Council of the European Union. EU Framework for National Roma Integration Strategies (NRIS), 2011. </w:t>
      </w:r>
      <w:hyperlink r:id="rId11" w:history="1">
        <w:r w:rsidRPr="00445079">
          <w:rPr>
            <w:rStyle w:val="Hipervnculo"/>
            <w:bCs/>
            <w:sz w:val="18"/>
            <w:szCs w:val="18"/>
            <w:lang w:val="en-GB"/>
          </w:rPr>
          <w:t>http://register.consilium.europa.eu/doc/srv?l=EN&amp;f=ST%2010658%202011%20INIT</w:t>
        </w:r>
      </w:hyperlink>
      <w:r w:rsidRPr="00445079">
        <w:rPr>
          <w:bCs/>
          <w:sz w:val="18"/>
          <w:szCs w:val="18"/>
          <w:lang w:val="en-GB"/>
        </w:rPr>
        <w:t xml:space="preserve"> </w:t>
      </w:r>
      <w:r>
        <w:rPr>
          <w:sz w:val="18"/>
          <w:szCs w:val="18"/>
          <w:lang w:val="en-GB"/>
        </w:rPr>
        <w:t>(retrieved: March 5, 2015)</w:t>
      </w:r>
      <w:r w:rsidRPr="00445079">
        <w:rPr>
          <w:sz w:val="18"/>
          <w:szCs w:val="18"/>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A0" w:rsidRPr="00FE7D28" w:rsidRDefault="001663A0" w:rsidP="00FE7D28">
    <w:pPr>
      <w:pStyle w:val="Encabezado"/>
      <w:rPr>
        <w:rFonts w:ascii="Verdana" w:hAnsi="Verdana"/>
      </w:rPr>
    </w:pPr>
  </w:p>
  <w:p w:rsidR="001663A0" w:rsidRPr="00FE7D28" w:rsidRDefault="001663A0" w:rsidP="00FE7D28">
    <w:pPr>
      <w:pBdr>
        <w:bottom w:val="single" w:sz="4" w:space="1" w:color="auto"/>
      </w:pBdr>
      <w:jc w:val="right"/>
      <w:rPr>
        <w:rStyle w:val="EncabezadoCar"/>
        <w:rFonts w:ascii="Verdana" w:hAnsi="Verdana"/>
        <w:sz w:val="18"/>
      </w:rPr>
    </w:pPr>
    <w:r w:rsidRPr="00FE7D28">
      <w:rPr>
        <w:rStyle w:val="EncabezadoCar"/>
        <w:rFonts w:ascii="Verdana" w:hAnsi="Verdana"/>
        <w:sz w:val="22"/>
      </w:rPr>
      <w:tab/>
    </w:r>
    <w:r w:rsidRPr="00FE7D28">
      <w:rPr>
        <w:rStyle w:val="EncabezadoCar"/>
        <w:rFonts w:ascii="Verdana" w:hAnsi="Verdana"/>
        <w:sz w:val="22"/>
      </w:rPr>
      <w:tab/>
    </w:r>
    <w:r w:rsidRPr="00FE7D28">
      <w:rPr>
        <w:rStyle w:val="EncabezadoCar"/>
        <w:rFonts w:ascii="Verdana" w:hAnsi="Verdana"/>
        <w:sz w:val="16"/>
        <w:szCs w:val="16"/>
      </w:rPr>
      <w:tab/>
    </w:r>
    <w:r w:rsidRPr="00FE7D28">
      <w:rPr>
        <w:rStyle w:val="EncabezadoCar"/>
        <w:rFonts w:ascii="Verdana" w:hAnsi="Verdana"/>
        <w:sz w:val="18"/>
      </w:rPr>
      <w:t>MEM-TP</w:t>
    </w:r>
  </w:p>
  <w:p w:rsidR="001663A0" w:rsidRPr="00FE7D28" w:rsidRDefault="001663A0" w:rsidP="00FE7D28">
    <w:pPr>
      <w:jc w:val="right"/>
      <w:rPr>
        <w:rFonts w:ascii="Verdana" w:hAnsi="Verdana"/>
        <w:lang w:val="en-GB"/>
      </w:rPr>
    </w:pPr>
    <w:r w:rsidRPr="00FE7D28">
      <w:rPr>
        <w:rStyle w:val="EncabezadoCar"/>
        <w:rFonts w:ascii="Verdana" w:hAnsi="Verdana"/>
        <w:sz w:val="22"/>
      </w:rPr>
      <w:tab/>
    </w:r>
    <w:r w:rsidRPr="00FE7D28">
      <w:rPr>
        <w:rStyle w:val="EncabezadoCar"/>
        <w:rFonts w:ascii="Verdana" w:hAnsi="Verdana"/>
        <w:sz w:val="22"/>
      </w:rPr>
      <w:tab/>
    </w:r>
    <w:r w:rsidRPr="00FE7D28">
      <w:rPr>
        <w:rStyle w:val="EncabezadoCar"/>
        <w:rFonts w:ascii="Verdana" w:hAnsi="Verdan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A0" w:rsidRPr="00FE7D28" w:rsidRDefault="001663A0" w:rsidP="00FE7D28">
    <w:pPr>
      <w:pStyle w:val="Encabezado"/>
      <w:rPr>
        <w:rFonts w:ascii="Verdana" w:hAnsi="Verdana"/>
      </w:rPr>
    </w:pPr>
  </w:p>
  <w:p w:rsidR="001663A0" w:rsidRPr="00FE7D28" w:rsidRDefault="001663A0" w:rsidP="00FE7D28">
    <w:pPr>
      <w:pBdr>
        <w:bottom w:val="single" w:sz="4" w:space="1" w:color="auto"/>
      </w:pBdr>
      <w:jc w:val="right"/>
      <w:rPr>
        <w:rStyle w:val="EncabezadoCar"/>
        <w:rFonts w:ascii="Verdana" w:hAnsi="Verdana"/>
        <w:sz w:val="18"/>
      </w:rPr>
    </w:pPr>
    <w:r w:rsidRPr="00FE7D28">
      <w:rPr>
        <w:rStyle w:val="EncabezadoCar"/>
        <w:rFonts w:ascii="Verdana" w:hAnsi="Verdana"/>
        <w:sz w:val="22"/>
      </w:rPr>
      <w:tab/>
    </w:r>
    <w:r w:rsidRPr="00FE7D28">
      <w:rPr>
        <w:rStyle w:val="EncabezadoCar"/>
        <w:rFonts w:ascii="Verdana" w:hAnsi="Verdana"/>
        <w:sz w:val="22"/>
      </w:rPr>
      <w:tab/>
    </w:r>
    <w:r w:rsidRPr="00FE7D28">
      <w:rPr>
        <w:rStyle w:val="EncabezadoCar"/>
        <w:rFonts w:ascii="Verdana" w:hAnsi="Verdana"/>
        <w:sz w:val="16"/>
        <w:szCs w:val="16"/>
      </w:rPr>
      <w:tab/>
    </w:r>
    <w:r w:rsidRPr="00FE7D28">
      <w:rPr>
        <w:rStyle w:val="EncabezadoCar"/>
        <w:rFonts w:ascii="Verdana" w:hAnsi="Verdana"/>
        <w:sz w:val="18"/>
      </w:rPr>
      <w:t>MEM-TP</w:t>
    </w:r>
  </w:p>
  <w:p w:rsidR="001663A0" w:rsidRPr="00FE7D28" w:rsidRDefault="001663A0" w:rsidP="00FE7D28">
    <w:pPr>
      <w:jc w:val="right"/>
      <w:rPr>
        <w:rFonts w:ascii="Verdana" w:hAnsi="Verdana"/>
        <w:lang w:val="en-GB"/>
      </w:rPr>
    </w:pPr>
    <w:r w:rsidRPr="00FE7D28">
      <w:rPr>
        <w:rStyle w:val="EncabezadoCar"/>
        <w:rFonts w:ascii="Verdana" w:hAnsi="Verdana"/>
        <w:sz w:val="22"/>
      </w:rPr>
      <w:tab/>
    </w:r>
    <w:r w:rsidRPr="00FE7D28">
      <w:rPr>
        <w:rStyle w:val="EncabezadoCar"/>
        <w:rFonts w:ascii="Verdana" w:hAnsi="Verdana"/>
        <w:sz w:val="22"/>
      </w:rPr>
      <w:tab/>
    </w:r>
    <w:r w:rsidRPr="00FE7D28">
      <w:rPr>
        <w:rStyle w:val="EncabezadoCar"/>
        <w:rFonts w:ascii="Verdana" w:hAnsi="Verdana"/>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A0" w:rsidRPr="00FE7D28" w:rsidRDefault="001663A0" w:rsidP="00FE7D28">
    <w:pPr>
      <w:pStyle w:val="Encabezado"/>
      <w:rPr>
        <w:rFonts w:ascii="Verdana" w:hAnsi="Verdana"/>
      </w:rPr>
    </w:pPr>
  </w:p>
  <w:p w:rsidR="001663A0" w:rsidRPr="00FE7D28" w:rsidRDefault="001663A0" w:rsidP="00FE7D28">
    <w:pPr>
      <w:pBdr>
        <w:bottom w:val="single" w:sz="4" w:space="1" w:color="auto"/>
      </w:pBdr>
      <w:jc w:val="right"/>
      <w:rPr>
        <w:rStyle w:val="EncabezadoCar"/>
        <w:rFonts w:ascii="Verdana" w:hAnsi="Verdana"/>
        <w:sz w:val="18"/>
      </w:rPr>
    </w:pPr>
    <w:r w:rsidRPr="00FE7D28">
      <w:rPr>
        <w:rStyle w:val="EncabezadoCar"/>
        <w:rFonts w:ascii="Verdana" w:hAnsi="Verdana"/>
        <w:sz w:val="22"/>
      </w:rPr>
      <w:tab/>
    </w:r>
    <w:r w:rsidRPr="00FE7D28">
      <w:rPr>
        <w:rStyle w:val="EncabezadoCar"/>
        <w:rFonts w:ascii="Verdana" w:hAnsi="Verdana"/>
        <w:sz w:val="22"/>
      </w:rPr>
      <w:tab/>
    </w:r>
    <w:r w:rsidRPr="00FE7D28">
      <w:rPr>
        <w:rStyle w:val="EncabezadoCar"/>
        <w:rFonts w:ascii="Verdana" w:hAnsi="Verdana"/>
        <w:sz w:val="16"/>
        <w:szCs w:val="16"/>
      </w:rPr>
      <w:tab/>
    </w:r>
    <w:r w:rsidRPr="00FE7D28">
      <w:rPr>
        <w:rStyle w:val="EncabezadoCar"/>
        <w:rFonts w:ascii="Verdana" w:hAnsi="Verdana"/>
        <w:sz w:val="18"/>
      </w:rPr>
      <w:t>MEM-TP</w:t>
    </w:r>
  </w:p>
  <w:p w:rsidR="001663A0" w:rsidRPr="00FE7D28" w:rsidRDefault="001663A0" w:rsidP="00FE7D28">
    <w:pPr>
      <w:jc w:val="right"/>
      <w:rPr>
        <w:rFonts w:ascii="Verdana" w:hAnsi="Verdana"/>
        <w:lang w:val="en-GB"/>
      </w:rPr>
    </w:pPr>
    <w:r w:rsidRPr="00FE7D28">
      <w:rPr>
        <w:rStyle w:val="EncabezadoCar"/>
        <w:rFonts w:ascii="Verdana" w:hAnsi="Verdana"/>
        <w:sz w:val="22"/>
      </w:rPr>
      <w:tab/>
    </w:r>
    <w:r w:rsidRPr="00FE7D28">
      <w:rPr>
        <w:rStyle w:val="EncabezadoCar"/>
        <w:rFonts w:ascii="Verdana" w:hAnsi="Verdana"/>
        <w:sz w:val="22"/>
      </w:rPr>
      <w:tab/>
    </w:r>
    <w:r w:rsidRPr="00FE7D28">
      <w:rPr>
        <w:rStyle w:val="EncabezadoCar"/>
        <w:rFonts w:ascii="Verdana" w:hAnsi="Verdana"/>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1EC8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779AA"/>
    <w:multiLevelType w:val="hybridMultilevel"/>
    <w:tmpl w:val="FA982E84"/>
    <w:lvl w:ilvl="0" w:tplc="1A9404EA">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1477233"/>
    <w:multiLevelType w:val="hybridMultilevel"/>
    <w:tmpl w:val="48E6F0EA"/>
    <w:lvl w:ilvl="0" w:tplc="D3F64200">
      <w:start w:val="1"/>
      <w:numFmt w:val="bullet"/>
      <w:lvlText w:val="•"/>
      <w:lvlJc w:val="left"/>
      <w:pPr>
        <w:ind w:left="1440" w:hanging="360"/>
      </w:pPr>
      <w:rPr>
        <w:rFonts w:ascii="Arial" w:hAnsi="Arial" w:hint="default"/>
        <w:b/>
        <w:i w:val="0"/>
        <w:color w:val="auto"/>
        <w:sz w:val="24"/>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3B54B5D"/>
    <w:multiLevelType w:val="hybridMultilevel"/>
    <w:tmpl w:val="05783788"/>
    <w:lvl w:ilvl="0" w:tplc="BDC02886">
      <w:start w:val="1"/>
      <w:numFmt w:val="bullet"/>
      <w:lvlText w:val="o"/>
      <w:lvlJc w:val="left"/>
      <w:pPr>
        <w:ind w:left="1776" w:hanging="360"/>
      </w:pPr>
      <w:rPr>
        <w:rFonts w:ascii="Courier New" w:hAnsi="Courier New" w:hint="default"/>
        <w:color w:val="auto"/>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14D6062E"/>
    <w:multiLevelType w:val="hybridMultilevel"/>
    <w:tmpl w:val="83AA8ACA"/>
    <w:lvl w:ilvl="0" w:tplc="C75A4234">
      <w:start w:val="1"/>
      <w:numFmt w:val="bullet"/>
      <w:lvlText w:val=""/>
      <w:lvlJc w:val="left"/>
      <w:pPr>
        <w:tabs>
          <w:tab w:val="num" w:pos="720"/>
        </w:tabs>
        <w:ind w:left="720" w:hanging="360"/>
      </w:pPr>
      <w:rPr>
        <w:rFonts w:ascii="Wingdings" w:hAnsi="Wingdings" w:hint="default"/>
      </w:rPr>
    </w:lvl>
    <w:lvl w:ilvl="1" w:tplc="3B70AED8">
      <w:start w:val="1"/>
      <w:numFmt w:val="bullet"/>
      <w:lvlText w:val=""/>
      <w:lvlJc w:val="left"/>
      <w:pPr>
        <w:tabs>
          <w:tab w:val="num" w:pos="1440"/>
        </w:tabs>
        <w:ind w:left="1440" w:hanging="360"/>
      </w:pPr>
      <w:rPr>
        <w:rFonts w:ascii="Wingdings" w:hAnsi="Wingdings" w:hint="default"/>
      </w:rPr>
    </w:lvl>
    <w:lvl w:ilvl="2" w:tplc="40A2FDB0" w:tentative="1">
      <w:start w:val="1"/>
      <w:numFmt w:val="bullet"/>
      <w:lvlText w:val=""/>
      <w:lvlJc w:val="left"/>
      <w:pPr>
        <w:tabs>
          <w:tab w:val="num" w:pos="2160"/>
        </w:tabs>
        <w:ind w:left="2160" w:hanging="360"/>
      </w:pPr>
      <w:rPr>
        <w:rFonts w:ascii="Wingdings" w:hAnsi="Wingdings" w:hint="default"/>
      </w:rPr>
    </w:lvl>
    <w:lvl w:ilvl="3" w:tplc="086214BE" w:tentative="1">
      <w:start w:val="1"/>
      <w:numFmt w:val="bullet"/>
      <w:lvlText w:val=""/>
      <w:lvlJc w:val="left"/>
      <w:pPr>
        <w:tabs>
          <w:tab w:val="num" w:pos="2880"/>
        </w:tabs>
        <w:ind w:left="2880" w:hanging="360"/>
      </w:pPr>
      <w:rPr>
        <w:rFonts w:ascii="Wingdings" w:hAnsi="Wingdings" w:hint="default"/>
      </w:rPr>
    </w:lvl>
    <w:lvl w:ilvl="4" w:tplc="246EEE96" w:tentative="1">
      <w:start w:val="1"/>
      <w:numFmt w:val="bullet"/>
      <w:lvlText w:val=""/>
      <w:lvlJc w:val="left"/>
      <w:pPr>
        <w:tabs>
          <w:tab w:val="num" w:pos="3600"/>
        </w:tabs>
        <w:ind w:left="3600" w:hanging="360"/>
      </w:pPr>
      <w:rPr>
        <w:rFonts w:ascii="Wingdings" w:hAnsi="Wingdings" w:hint="default"/>
      </w:rPr>
    </w:lvl>
    <w:lvl w:ilvl="5" w:tplc="78A85D42" w:tentative="1">
      <w:start w:val="1"/>
      <w:numFmt w:val="bullet"/>
      <w:lvlText w:val=""/>
      <w:lvlJc w:val="left"/>
      <w:pPr>
        <w:tabs>
          <w:tab w:val="num" w:pos="4320"/>
        </w:tabs>
        <w:ind w:left="4320" w:hanging="360"/>
      </w:pPr>
      <w:rPr>
        <w:rFonts w:ascii="Wingdings" w:hAnsi="Wingdings" w:hint="default"/>
      </w:rPr>
    </w:lvl>
    <w:lvl w:ilvl="6" w:tplc="03BC9652" w:tentative="1">
      <w:start w:val="1"/>
      <w:numFmt w:val="bullet"/>
      <w:lvlText w:val=""/>
      <w:lvlJc w:val="left"/>
      <w:pPr>
        <w:tabs>
          <w:tab w:val="num" w:pos="5040"/>
        </w:tabs>
        <w:ind w:left="5040" w:hanging="360"/>
      </w:pPr>
      <w:rPr>
        <w:rFonts w:ascii="Wingdings" w:hAnsi="Wingdings" w:hint="default"/>
      </w:rPr>
    </w:lvl>
    <w:lvl w:ilvl="7" w:tplc="44FC0440" w:tentative="1">
      <w:start w:val="1"/>
      <w:numFmt w:val="bullet"/>
      <w:lvlText w:val=""/>
      <w:lvlJc w:val="left"/>
      <w:pPr>
        <w:tabs>
          <w:tab w:val="num" w:pos="5760"/>
        </w:tabs>
        <w:ind w:left="5760" w:hanging="360"/>
      </w:pPr>
      <w:rPr>
        <w:rFonts w:ascii="Wingdings" w:hAnsi="Wingdings" w:hint="default"/>
      </w:rPr>
    </w:lvl>
    <w:lvl w:ilvl="8" w:tplc="6D3E6D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E1EAD"/>
    <w:multiLevelType w:val="hybridMultilevel"/>
    <w:tmpl w:val="E39A4678"/>
    <w:lvl w:ilvl="0" w:tplc="B7EC641C">
      <w:start w:val="1"/>
      <w:numFmt w:val="decimal"/>
      <w:lvlText w:val="%1."/>
      <w:lvlJc w:val="left"/>
      <w:pPr>
        <w:ind w:left="360" w:hanging="360"/>
      </w:pPr>
      <w:rPr>
        <w:rFonts w:cs="Times New Roman" w:hint="default"/>
        <w:b/>
        <w:bCs/>
        <w:i w:val="0"/>
        <w:iCs w:val="0"/>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2C66136E"/>
    <w:multiLevelType w:val="hybridMultilevel"/>
    <w:tmpl w:val="3F7A794E"/>
    <w:lvl w:ilvl="0" w:tplc="08F632C8">
      <w:start w:val="1"/>
      <w:numFmt w:val="decimal"/>
      <w:lvlText w:val="%1."/>
      <w:lvlJc w:val="left"/>
      <w:pPr>
        <w:tabs>
          <w:tab w:val="num" w:pos="360"/>
        </w:tabs>
        <w:ind w:left="360" w:hanging="360"/>
      </w:pPr>
      <w:rPr>
        <w:rFonts w:ascii="Calibri" w:eastAsia="Times New Roman" w:hAnsi="Calibri" w:cs="Times New Roman"/>
      </w:rPr>
    </w:lvl>
    <w:lvl w:ilvl="1" w:tplc="AE962A82">
      <w:numFmt w:val="none"/>
      <w:lvlText w:val=""/>
      <w:lvlJc w:val="left"/>
      <w:pPr>
        <w:tabs>
          <w:tab w:val="num" w:pos="360"/>
        </w:tabs>
      </w:pPr>
      <w:rPr>
        <w:rFonts w:cs="Times New Roman"/>
      </w:rPr>
    </w:lvl>
    <w:lvl w:ilvl="2" w:tplc="00CCDA0C" w:tentative="1">
      <w:start w:val="1"/>
      <w:numFmt w:val="bullet"/>
      <w:lvlText w:val="•"/>
      <w:lvlJc w:val="left"/>
      <w:pPr>
        <w:tabs>
          <w:tab w:val="num" w:pos="1800"/>
        </w:tabs>
        <w:ind w:left="1800" w:hanging="360"/>
      </w:pPr>
      <w:rPr>
        <w:rFonts w:ascii="Arial" w:hAnsi="Arial" w:hint="default"/>
      </w:rPr>
    </w:lvl>
    <w:lvl w:ilvl="3" w:tplc="921A639C" w:tentative="1">
      <w:start w:val="1"/>
      <w:numFmt w:val="bullet"/>
      <w:lvlText w:val="•"/>
      <w:lvlJc w:val="left"/>
      <w:pPr>
        <w:tabs>
          <w:tab w:val="num" w:pos="2520"/>
        </w:tabs>
        <w:ind w:left="2520" w:hanging="360"/>
      </w:pPr>
      <w:rPr>
        <w:rFonts w:ascii="Arial" w:hAnsi="Arial" w:hint="default"/>
      </w:rPr>
    </w:lvl>
    <w:lvl w:ilvl="4" w:tplc="D05CF3DE" w:tentative="1">
      <w:start w:val="1"/>
      <w:numFmt w:val="bullet"/>
      <w:lvlText w:val="•"/>
      <w:lvlJc w:val="left"/>
      <w:pPr>
        <w:tabs>
          <w:tab w:val="num" w:pos="3240"/>
        </w:tabs>
        <w:ind w:left="3240" w:hanging="360"/>
      </w:pPr>
      <w:rPr>
        <w:rFonts w:ascii="Arial" w:hAnsi="Arial" w:hint="default"/>
      </w:rPr>
    </w:lvl>
    <w:lvl w:ilvl="5" w:tplc="4D8EC602" w:tentative="1">
      <w:start w:val="1"/>
      <w:numFmt w:val="bullet"/>
      <w:lvlText w:val="•"/>
      <w:lvlJc w:val="left"/>
      <w:pPr>
        <w:tabs>
          <w:tab w:val="num" w:pos="3960"/>
        </w:tabs>
        <w:ind w:left="3960" w:hanging="360"/>
      </w:pPr>
      <w:rPr>
        <w:rFonts w:ascii="Arial" w:hAnsi="Arial" w:hint="default"/>
      </w:rPr>
    </w:lvl>
    <w:lvl w:ilvl="6" w:tplc="BEDEC02E" w:tentative="1">
      <w:start w:val="1"/>
      <w:numFmt w:val="bullet"/>
      <w:lvlText w:val="•"/>
      <w:lvlJc w:val="left"/>
      <w:pPr>
        <w:tabs>
          <w:tab w:val="num" w:pos="4680"/>
        </w:tabs>
        <w:ind w:left="4680" w:hanging="360"/>
      </w:pPr>
      <w:rPr>
        <w:rFonts w:ascii="Arial" w:hAnsi="Arial" w:hint="default"/>
      </w:rPr>
    </w:lvl>
    <w:lvl w:ilvl="7" w:tplc="1B8ADD7C" w:tentative="1">
      <w:start w:val="1"/>
      <w:numFmt w:val="bullet"/>
      <w:lvlText w:val="•"/>
      <w:lvlJc w:val="left"/>
      <w:pPr>
        <w:tabs>
          <w:tab w:val="num" w:pos="5400"/>
        </w:tabs>
        <w:ind w:left="5400" w:hanging="360"/>
      </w:pPr>
      <w:rPr>
        <w:rFonts w:ascii="Arial" w:hAnsi="Arial" w:hint="default"/>
      </w:rPr>
    </w:lvl>
    <w:lvl w:ilvl="8" w:tplc="6D9C762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EDF6763"/>
    <w:multiLevelType w:val="hybridMultilevel"/>
    <w:tmpl w:val="2EACDD26"/>
    <w:lvl w:ilvl="0" w:tplc="B7EC641C">
      <w:start w:val="1"/>
      <w:numFmt w:val="decimal"/>
      <w:lvlText w:val="%1."/>
      <w:lvlJc w:val="left"/>
      <w:pPr>
        <w:ind w:left="360" w:hanging="360"/>
      </w:pPr>
      <w:rPr>
        <w:rFonts w:cs="Times New Roman" w:hint="default"/>
        <w:b/>
        <w:bCs/>
        <w:i w:val="0"/>
        <w:iCs w:val="0"/>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362C06FF"/>
    <w:multiLevelType w:val="hybridMultilevel"/>
    <w:tmpl w:val="4BC88A1E"/>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039B2"/>
    <w:multiLevelType w:val="hybridMultilevel"/>
    <w:tmpl w:val="4E323B02"/>
    <w:lvl w:ilvl="0" w:tplc="4F34D2DE">
      <w:start w:val="1"/>
      <w:numFmt w:val="bullet"/>
      <w:lvlText w:val=""/>
      <w:lvlJc w:val="left"/>
      <w:pPr>
        <w:tabs>
          <w:tab w:val="num" w:pos="720"/>
        </w:tabs>
        <w:ind w:left="720" w:hanging="360"/>
      </w:pPr>
      <w:rPr>
        <w:rFonts w:ascii="Wingdings" w:hAnsi="Wingdings" w:hint="default"/>
      </w:rPr>
    </w:lvl>
    <w:lvl w:ilvl="1" w:tplc="2A30C246">
      <w:start w:val="1"/>
      <w:numFmt w:val="bullet"/>
      <w:lvlText w:val=""/>
      <w:lvlJc w:val="left"/>
      <w:pPr>
        <w:tabs>
          <w:tab w:val="num" w:pos="1440"/>
        </w:tabs>
        <w:ind w:left="1440" w:hanging="360"/>
      </w:pPr>
      <w:rPr>
        <w:rFonts w:ascii="Wingdings" w:hAnsi="Wingdings" w:hint="default"/>
      </w:rPr>
    </w:lvl>
    <w:lvl w:ilvl="2" w:tplc="78F4C1B2" w:tentative="1">
      <w:start w:val="1"/>
      <w:numFmt w:val="bullet"/>
      <w:lvlText w:val=""/>
      <w:lvlJc w:val="left"/>
      <w:pPr>
        <w:tabs>
          <w:tab w:val="num" w:pos="2160"/>
        </w:tabs>
        <w:ind w:left="2160" w:hanging="360"/>
      </w:pPr>
      <w:rPr>
        <w:rFonts w:ascii="Wingdings" w:hAnsi="Wingdings" w:hint="default"/>
      </w:rPr>
    </w:lvl>
    <w:lvl w:ilvl="3" w:tplc="7CA8B9AC" w:tentative="1">
      <w:start w:val="1"/>
      <w:numFmt w:val="bullet"/>
      <w:lvlText w:val=""/>
      <w:lvlJc w:val="left"/>
      <w:pPr>
        <w:tabs>
          <w:tab w:val="num" w:pos="2880"/>
        </w:tabs>
        <w:ind w:left="2880" w:hanging="360"/>
      </w:pPr>
      <w:rPr>
        <w:rFonts w:ascii="Wingdings" w:hAnsi="Wingdings" w:hint="default"/>
      </w:rPr>
    </w:lvl>
    <w:lvl w:ilvl="4" w:tplc="788AAFA8" w:tentative="1">
      <w:start w:val="1"/>
      <w:numFmt w:val="bullet"/>
      <w:lvlText w:val=""/>
      <w:lvlJc w:val="left"/>
      <w:pPr>
        <w:tabs>
          <w:tab w:val="num" w:pos="3600"/>
        </w:tabs>
        <w:ind w:left="3600" w:hanging="360"/>
      </w:pPr>
      <w:rPr>
        <w:rFonts w:ascii="Wingdings" w:hAnsi="Wingdings" w:hint="default"/>
      </w:rPr>
    </w:lvl>
    <w:lvl w:ilvl="5" w:tplc="66A40DD2" w:tentative="1">
      <w:start w:val="1"/>
      <w:numFmt w:val="bullet"/>
      <w:lvlText w:val=""/>
      <w:lvlJc w:val="left"/>
      <w:pPr>
        <w:tabs>
          <w:tab w:val="num" w:pos="4320"/>
        </w:tabs>
        <w:ind w:left="4320" w:hanging="360"/>
      </w:pPr>
      <w:rPr>
        <w:rFonts w:ascii="Wingdings" w:hAnsi="Wingdings" w:hint="default"/>
      </w:rPr>
    </w:lvl>
    <w:lvl w:ilvl="6" w:tplc="945E762A" w:tentative="1">
      <w:start w:val="1"/>
      <w:numFmt w:val="bullet"/>
      <w:lvlText w:val=""/>
      <w:lvlJc w:val="left"/>
      <w:pPr>
        <w:tabs>
          <w:tab w:val="num" w:pos="5040"/>
        </w:tabs>
        <w:ind w:left="5040" w:hanging="360"/>
      </w:pPr>
      <w:rPr>
        <w:rFonts w:ascii="Wingdings" w:hAnsi="Wingdings" w:hint="default"/>
      </w:rPr>
    </w:lvl>
    <w:lvl w:ilvl="7" w:tplc="9A0EA592" w:tentative="1">
      <w:start w:val="1"/>
      <w:numFmt w:val="bullet"/>
      <w:lvlText w:val=""/>
      <w:lvlJc w:val="left"/>
      <w:pPr>
        <w:tabs>
          <w:tab w:val="num" w:pos="5760"/>
        </w:tabs>
        <w:ind w:left="5760" w:hanging="360"/>
      </w:pPr>
      <w:rPr>
        <w:rFonts w:ascii="Wingdings" w:hAnsi="Wingdings" w:hint="default"/>
      </w:rPr>
    </w:lvl>
    <w:lvl w:ilvl="8" w:tplc="3DFC46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76581"/>
    <w:multiLevelType w:val="hybridMultilevel"/>
    <w:tmpl w:val="A8D20BFA"/>
    <w:lvl w:ilvl="0" w:tplc="B7EC641C">
      <w:start w:val="1"/>
      <w:numFmt w:val="decimal"/>
      <w:lvlText w:val="%1."/>
      <w:lvlJc w:val="left"/>
      <w:pPr>
        <w:ind w:left="360" w:hanging="360"/>
      </w:pPr>
      <w:rPr>
        <w:rFonts w:cs="Times New Roman" w:hint="default"/>
        <w:b/>
        <w:bCs/>
        <w:i w:val="0"/>
        <w:iCs w:val="0"/>
      </w:rPr>
    </w:lvl>
    <w:lvl w:ilvl="1" w:tplc="739A7D68">
      <w:start w:val="1"/>
      <w:numFmt w:val="bullet"/>
      <w:lvlText w:val=""/>
      <w:lvlJc w:val="left"/>
      <w:pPr>
        <w:ind w:left="284" w:hanging="284"/>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4A101CD3"/>
    <w:multiLevelType w:val="hybridMultilevel"/>
    <w:tmpl w:val="1C76650A"/>
    <w:lvl w:ilvl="0" w:tplc="D3F64200">
      <w:start w:val="1"/>
      <w:numFmt w:val="bullet"/>
      <w:lvlText w:val="•"/>
      <w:lvlJc w:val="left"/>
      <w:pPr>
        <w:ind w:left="1068" w:hanging="360"/>
      </w:pPr>
      <w:rPr>
        <w:rFonts w:ascii="Arial" w:hAnsi="Arial" w:hint="default"/>
        <w:b/>
        <w:i w:val="0"/>
        <w:color w:val="auto"/>
        <w:sz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59526018"/>
    <w:multiLevelType w:val="hybridMultilevel"/>
    <w:tmpl w:val="6E9850B4"/>
    <w:lvl w:ilvl="0" w:tplc="9A9A7B9E">
      <w:start w:val="1"/>
      <w:numFmt w:val="bullet"/>
      <w:lvlText w:val=""/>
      <w:lvlJc w:val="left"/>
      <w:pPr>
        <w:tabs>
          <w:tab w:val="num" w:pos="360"/>
        </w:tabs>
        <w:ind w:left="360" w:hanging="360"/>
      </w:pPr>
      <w:rPr>
        <w:rFonts w:ascii="Symbol" w:hAnsi="Symbol" w:hint="default"/>
        <w:color w:val="auto"/>
      </w:rPr>
    </w:lvl>
    <w:lvl w:ilvl="1" w:tplc="9A9A7B9E">
      <w:start w:val="1"/>
      <w:numFmt w:val="bullet"/>
      <w:lvlText w:val=""/>
      <w:lvlJc w:val="left"/>
      <w:pPr>
        <w:tabs>
          <w:tab w:val="num" w:pos="1080"/>
        </w:tabs>
        <w:ind w:left="1080" w:hanging="360"/>
      </w:pPr>
      <w:rPr>
        <w:rFonts w:ascii="Symbol" w:hAnsi="Symbol" w:hint="default"/>
        <w:color w:val="auto"/>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68012F3E"/>
    <w:multiLevelType w:val="hybridMultilevel"/>
    <w:tmpl w:val="59D0D834"/>
    <w:lvl w:ilvl="0" w:tplc="0C0A000F">
      <w:start w:val="1"/>
      <w:numFmt w:val="decimal"/>
      <w:lvlText w:val="%1."/>
      <w:lvlJc w:val="left"/>
      <w:pPr>
        <w:ind w:left="360" w:hanging="360"/>
      </w:pPr>
      <w:rPr>
        <w:rFonts w:cs="Times New Roman" w:hint="default"/>
      </w:rPr>
    </w:lvl>
    <w:lvl w:ilvl="1" w:tplc="0C0A0005">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15:restartNumberingAfterBreak="0">
    <w:nsid w:val="6CC93457"/>
    <w:multiLevelType w:val="hybridMultilevel"/>
    <w:tmpl w:val="526C63B0"/>
    <w:lvl w:ilvl="0" w:tplc="0C0A000F">
      <w:start w:val="1"/>
      <w:numFmt w:val="decimal"/>
      <w:lvlText w:val="%1."/>
      <w:lvlJc w:val="left"/>
      <w:pPr>
        <w:ind w:left="360" w:hanging="360"/>
      </w:pPr>
      <w:rPr>
        <w:rFonts w:cs="Times New Roman" w:hint="default"/>
      </w:rPr>
    </w:lvl>
    <w:lvl w:ilvl="1" w:tplc="9A9A7B9E">
      <w:start w:val="1"/>
      <w:numFmt w:val="bullet"/>
      <w:lvlText w:val=""/>
      <w:lvlJc w:val="left"/>
      <w:pPr>
        <w:tabs>
          <w:tab w:val="num" w:pos="1080"/>
        </w:tabs>
        <w:ind w:left="1080" w:hanging="360"/>
      </w:pPr>
      <w:rPr>
        <w:rFonts w:ascii="Symbol" w:hAnsi="Symbol" w:hint="default"/>
        <w:color w:val="auto"/>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15:restartNumberingAfterBreak="0">
    <w:nsid w:val="6D872A96"/>
    <w:multiLevelType w:val="multilevel"/>
    <w:tmpl w:val="59D0D834"/>
    <w:lvl w:ilvl="0">
      <w:start w:val="1"/>
      <w:numFmt w:val="decimal"/>
      <w:lvlText w:val="%1."/>
      <w:lvlJc w:val="left"/>
      <w:pPr>
        <w:ind w:left="360" w:hanging="360"/>
      </w:pPr>
      <w:rPr>
        <w:rFonts w:cs="Times New Roman"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6FAA1D82"/>
    <w:multiLevelType w:val="hybridMultilevel"/>
    <w:tmpl w:val="7B0AB482"/>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72198"/>
    <w:multiLevelType w:val="hybridMultilevel"/>
    <w:tmpl w:val="6D76BFD0"/>
    <w:lvl w:ilvl="0" w:tplc="4738BAC8">
      <w:start w:val="1"/>
      <w:numFmt w:val="bullet"/>
      <w:lvlText w:val="•"/>
      <w:lvlJc w:val="left"/>
      <w:pPr>
        <w:tabs>
          <w:tab w:val="num" w:pos="360"/>
        </w:tabs>
        <w:ind w:left="360" w:hanging="360"/>
      </w:pPr>
      <w:rPr>
        <w:rFonts w:ascii="Arial" w:hAnsi="Arial" w:hint="default"/>
      </w:rPr>
    </w:lvl>
    <w:lvl w:ilvl="1" w:tplc="00D8E13A">
      <w:numFmt w:val="none"/>
      <w:lvlText w:val=""/>
      <w:lvlJc w:val="left"/>
      <w:pPr>
        <w:tabs>
          <w:tab w:val="num" w:pos="360"/>
        </w:tabs>
      </w:pPr>
      <w:rPr>
        <w:rFonts w:cs="Times New Roman"/>
      </w:rPr>
    </w:lvl>
    <w:lvl w:ilvl="2" w:tplc="1AFCBFF4">
      <w:numFmt w:val="none"/>
      <w:lvlText w:val=""/>
      <w:lvlJc w:val="left"/>
      <w:pPr>
        <w:tabs>
          <w:tab w:val="num" w:pos="360"/>
        </w:tabs>
      </w:pPr>
      <w:rPr>
        <w:rFonts w:cs="Times New Roman"/>
      </w:rPr>
    </w:lvl>
    <w:lvl w:ilvl="3" w:tplc="A290D888" w:tentative="1">
      <w:start w:val="1"/>
      <w:numFmt w:val="bullet"/>
      <w:lvlText w:val="•"/>
      <w:lvlJc w:val="left"/>
      <w:pPr>
        <w:tabs>
          <w:tab w:val="num" w:pos="2520"/>
        </w:tabs>
        <w:ind w:left="2520" w:hanging="360"/>
      </w:pPr>
      <w:rPr>
        <w:rFonts w:ascii="Arial" w:hAnsi="Arial" w:hint="default"/>
      </w:rPr>
    </w:lvl>
    <w:lvl w:ilvl="4" w:tplc="8640A79A" w:tentative="1">
      <w:start w:val="1"/>
      <w:numFmt w:val="bullet"/>
      <w:lvlText w:val="•"/>
      <w:lvlJc w:val="left"/>
      <w:pPr>
        <w:tabs>
          <w:tab w:val="num" w:pos="3240"/>
        </w:tabs>
        <w:ind w:left="3240" w:hanging="360"/>
      </w:pPr>
      <w:rPr>
        <w:rFonts w:ascii="Arial" w:hAnsi="Arial" w:hint="default"/>
      </w:rPr>
    </w:lvl>
    <w:lvl w:ilvl="5" w:tplc="6EFC55DA" w:tentative="1">
      <w:start w:val="1"/>
      <w:numFmt w:val="bullet"/>
      <w:lvlText w:val="•"/>
      <w:lvlJc w:val="left"/>
      <w:pPr>
        <w:tabs>
          <w:tab w:val="num" w:pos="3960"/>
        </w:tabs>
        <w:ind w:left="3960" w:hanging="360"/>
      </w:pPr>
      <w:rPr>
        <w:rFonts w:ascii="Arial" w:hAnsi="Arial" w:hint="default"/>
      </w:rPr>
    </w:lvl>
    <w:lvl w:ilvl="6" w:tplc="16FAD04A" w:tentative="1">
      <w:start w:val="1"/>
      <w:numFmt w:val="bullet"/>
      <w:lvlText w:val="•"/>
      <w:lvlJc w:val="left"/>
      <w:pPr>
        <w:tabs>
          <w:tab w:val="num" w:pos="4680"/>
        </w:tabs>
        <w:ind w:left="4680" w:hanging="360"/>
      </w:pPr>
      <w:rPr>
        <w:rFonts w:ascii="Arial" w:hAnsi="Arial" w:hint="default"/>
      </w:rPr>
    </w:lvl>
    <w:lvl w:ilvl="7" w:tplc="5680C4A2" w:tentative="1">
      <w:start w:val="1"/>
      <w:numFmt w:val="bullet"/>
      <w:lvlText w:val="•"/>
      <w:lvlJc w:val="left"/>
      <w:pPr>
        <w:tabs>
          <w:tab w:val="num" w:pos="5400"/>
        </w:tabs>
        <w:ind w:left="5400" w:hanging="360"/>
      </w:pPr>
      <w:rPr>
        <w:rFonts w:ascii="Arial" w:hAnsi="Arial" w:hint="default"/>
      </w:rPr>
    </w:lvl>
    <w:lvl w:ilvl="8" w:tplc="17D6D1DA" w:tentative="1">
      <w:start w:val="1"/>
      <w:numFmt w:val="bullet"/>
      <w:lvlText w:val="•"/>
      <w:lvlJc w:val="left"/>
      <w:pPr>
        <w:tabs>
          <w:tab w:val="num" w:pos="6120"/>
        </w:tabs>
        <w:ind w:left="6120" w:hanging="360"/>
      </w:pPr>
      <w:rPr>
        <w:rFonts w:ascii="Arial" w:hAnsi="Arial" w:hint="default"/>
      </w:rPr>
    </w:lvl>
  </w:abstractNum>
  <w:num w:numId="1">
    <w:abstractNumId w:val="6"/>
  </w:num>
  <w:num w:numId="2">
    <w:abstractNumId w:val="5"/>
  </w:num>
  <w:num w:numId="3">
    <w:abstractNumId w:val="7"/>
  </w:num>
  <w:num w:numId="4">
    <w:abstractNumId w:val="10"/>
  </w:num>
  <w:num w:numId="5">
    <w:abstractNumId w:val="9"/>
  </w:num>
  <w:num w:numId="6">
    <w:abstractNumId w:val="1"/>
  </w:num>
  <w:num w:numId="7">
    <w:abstractNumId w:val="17"/>
  </w:num>
  <w:num w:numId="8">
    <w:abstractNumId w:val="2"/>
  </w:num>
  <w:num w:numId="9">
    <w:abstractNumId w:val="3"/>
  </w:num>
  <w:num w:numId="10">
    <w:abstractNumId w:val="11"/>
  </w:num>
  <w:num w:numId="11">
    <w:abstractNumId w:val="16"/>
  </w:num>
  <w:num w:numId="12">
    <w:abstractNumId w:val="4"/>
  </w:num>
  <w:num w:numId="13">
    <w:abstractNumId w:val="13"/>
  </w:num>
  <w:num w:numId="14">
    <w:abstractNumId w:val="0"/>
  </w:num>
  <w:num w:numId="15">
    <w:abstractNumId w:val="15"/>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30CDB"/>
    <w:rsid w:val="00043762"/>
    <w:rsid w:val="00060DFD"/>
    <w:rsid w:val="000737EB"/>
    <w:rsid w:val="000936E2"/>
    <w:rsid w:val="000A074F"/>
    <w:rsid w:val="000A43E1"/>
    <w:rsid w:val="000B1EED"/>
    <w:rsid w:val="000B2700"/>
    <w:rsid w:val="000B545E"/>
    <w:rsid w:val="000B6804"/>
    <w:rsid w:val="000C4057"/>
    <w:rsid w:val="000C4FEC"/>
    <w:rsid w:val="000D54E4"/>
    <w:rsid w:val="000D645D"/>
    <w:rsid w:val="000E65BE"/>
    <w:rsid w:val="000F181D"/>
    <w:rsid w:val="000F4E23"/>
    <w:rsid w:val="00115773"/>
    <w:rsid w:val="00115EDA"/>
    <w:rsid w:val="00122B95"/>
    <w:rsid w:val="00123970"/>
    <w:rsid w:val="00133E38"/>
    <w:rsid w:val="0015227F"/>
    <w:rsid w:val="00157C79"/>
    <w:rsid w:val="00166268"/>
    <w:rsid w:val="001663A0"/>
    <w:rsid w:val="001678DC"/>
    <w:rsid w:val="001825A8"/>
    <w:rsid w:val="001A0A3B"/>
    <w:rsid w:val="001A0CC5"/>
    <w:rsid w:val="001C1F68"/>
    <w:rsid w:val="001C1FB5"/>
    <w:rsid w:val="001C7F38"/>
    <w:rsid w:val="001D0F0C"/>
    <w:rsid w:val="001D16DB"/>
    <w:rsid w:val="001D546D"/>
    <w:rsid w:val="001E096C"/>
    <w:rsid w:val="001E1DF4"/>
    <w:rsid w:val="001E335D"/>
    <w:rsid w:val="001E5D55"/>
    <w:rsid w:val="001E6FAA"/>
    <w:rsid w:val="001F45EC"/>
    <w:rsid w:val="00202DDE"/>
    <w:rsid w:val="00207B6E"/>
    <w:rsid w:val="00210D3D"/>
    <w:rsid w:val="0021148A"/>
    <w:rsid w:val="002256F1"/>
    <w:rsid w:val="0023041F"/>
    <w:rsid w:val="002318A0"/>
    <w:rsid w:val="00233395"/>
    <w:rsid w:val="00234D87"/>
    <w:rsid w:val="002360CD"/>
    <w:rsid w:val="0024111E"/>
    <w:rsid w:val="0026706F"/>
    <w:rsid w:val="0027580A"/>
    <w:rsid w:val="002827FB"/>
    <w:rsid w:val="002859BA"/>
    <w:rsid w:val="0029015D"/>
    <w:rsid w:val="002972E8"/>
    <w:rsid w:val="002A621E"/>
    <w:rsid w:val="002B2771"/>
    <w:rsid w:val="002C1A27"/>
    <w:rsid w:val="002C2E9E"/>
    <w:rsid w:val="002C62C4"/>
    <w:rsid w:val="002D0811"/>
    <w:rsid w:val="002F205B"/>
    <w:rsid w:val="002F2EA9"/>
    <w:rsid w:val="002F5187"/>
    <w:rsid w:val="00301DCD"/>
    <w:rsid w:val="00303851"/>
    <w:rsid w:val="00304708"/>
    <w:rsid w:val="00307755"/>
    <w:rsid w:val="00321367"/>
    <w:rsid w:val="003267B5"/>
    <w:rsid w:val="00326C05"/>
    <w:rsid w:val="00333F58"/>
    <w:rsid w:val="00357CD4"/>
    <w:rsid w:val="00366395"/>
    <w:rsid w:val="00367E76"/>
    <w:rsid w:val="003740E5"/>
    <w:rsid w:val="00383C99"/>
    <w:rsid w:val="00385B5C"/>
    <w:rsid w:val="003A2EE9"/>
    <w:rsid w:val="003B44CE"/>
    <w:rsid w:val="003B45AB"/>
    <w:rsid w:val="003C1589"/>
    <w:rsid w:val="003C3135"/>
    <w:rsid w:val="003E183D"/>
    <w:rsid w:val="003E4954"/>
    <w:rsid w:val="003F3A71"/>
    <w:rsid w:val="003F58C8"/>
    <w:rsid w:val="00412C7A"/>
    <w:rsid w:val="0042348E"/>
    <w:rsid w:val="00425730"/>
    <w:rsid w:val="00425BAB"/>
    <w:rsid w:val="00427503"/>
    <w:rsid w:val="004309D0"/>
    <w:rsid w:val="00431A2B"/>
    <w:rsid w:val="00431BD0"/>
    <w:rsid w:val="0043317B"/>
    <w:rsid w:val="00444873"/>
    <w:rsid w:val="00445079"/>
    <w:rsid w:val="00454F09"/>
    <w:rsid w:val="00455F38"/>
    <w:rsid w:val="0045603D"/>
    <w:rsid w:val="004929C8"/>
    <w:rsid w:val="004A3EBB"/>
    <w:rsid w:val="004A4A73"/>
    <w:rsid w:val="004A714D"/>
    <w:rsid w:val="004B3B10"/>
    <w:rsid w:val="004C0939"/>
    <w:rsid w:val="004C47C9"/>
    <w:rsid w:val="004D54E0"/>
    <w:rsid w:val="004E093E"/>
    <w:rsid w:val="004E3B3D"/>
    <w:rsid w:val="004F58AA"/>
    <w:rsid w:val="00516EAF"/>
    <w:rsid w:val="00524C54"/>
    <w:rsid w:val="00527D36"/>
    <w:rsid w:val="005358AE"/>
    <w:rsid w:val="00543DF4"/>
    <w:rsid w:val="005701E5"/>
    <w:rsid w:val="00584401"/>
    <w:rsid w:val="005869E8"/>
    <w:rsid w:val="00591974"/>
    <w:rsid w:val="005A5BA8"/>
    <w:rsid w:val="005A7164"/>
    <w:rsid w:val="005B1990"/>
    <w:rsid w:val="005B4F2F"/>
    <w:rsid w:val="005B5747"/>
    <w:rsid w:val="005B7E72"/>
    <w:rsid w:val="005C6254"/>
    <w:rsid w:val="005C6929"/>
    <w:rsid w:val="005D5A8C"/>
    <w:rsid w:val="005D72B7"/>
    <w:rsid w:val="005D7B47"/>
    <w:rsid w:val="005E0008"/>
    <w:rsid w:val="005E3343"/>
    <w:rsid w:val="005E5181"/>
    <w:rsid w:val="00600CE6"/>
    <w:rsid w:val="0060113D"/>
    <w:rsid w:val="006065B4"/>
    <w:rsid w:val="00623AEB"/>
    <w:rsid w:val="0062719E"/>
    <w:rsid w:val="00645C72"/>
    <w:rsid w:val="00650859"/>
    <w:rsid w:val="00655D8B"/>
    <w:rsid w:val="006564D9"/>
    <w:rsid w:val="00656D90"/>
    <w:rsid w:val="00663A18"/>
    <w:rsid w:val="00664E79"/>
    <w:rsid w:val="00674CD1"/>
    <w:rsid w:val="0067721C"/>
    <w:rsid w:val="00682C17"/>
    <w:rsid w:val="00687E42"/>
    <w:rsid w:val="006A0F41"/>
    <w:rsid w:val="006A23BD"/>
    <w:rsid w:val="006B7D58"/>
    <w:rsid w:val="006C666C"/>
    <w:rsid w:val="006D2B9B"/>
    <w:rsid w:val="006D2D46"/>
    <w:rsid w:val="006E0AC6"/>
    <w:rsid w:val="006F71AA"/>
    <w:rsid w:val="00706183"/>
    <w:rsid w:val="0071468A"/>
    <w:rsid w:val="00715EA2"/>
    <w:rsid w:val="007210E6"/>
    <w:rsid w:val="00722B8F"/>
    <w:rsid w:val="00725C81"/>
    <w:rsid w:val="0073068A"/>
    <w:rsid w:val="00737F92"/>
    <w:rsid w:val="007413A2"/>
    <w:rsid w:val="00765C58"/>
    <w:rsid w:val="00771906"/>
    <w:rsid w:val="00773ADF"/>
    <w:rsid w:val="00774CF7"/>
    <w:rsid w:val="00775AA3"/>
    <w:rsid w:val="007B0C5E"/>
    <w:rsid w:val="007B117D"/>
    <w:rsid w:val="007B5414"/>
    <w:rsid w:val="007D23D3"/>
    <w:rsid w:val="007D53E7"/>
    <w:rsid w:val="007E217E"/>
    <w:rsid w:val="007F50A5"/>
    <w:rsid w:val="007F750C"/>
    <w:rsid w:val="00800BD5"/>
    <w:rsid w:val="008025CA"/>
    <w:rsid w:val="00802DE6"/>
    <w:rsid w:val="00803C03"/>
    <w:rsid w:val="00804862"/>
    <w:rsid w:val="00816C0E"/>
    <w:rsid w:val="0082235F"/>
    <w:rsid w:val="008277E4"/>
    <w:rsid w:val="008653FE"/>
    <w:rsid w:val="00865C99"/>
    <w:rsid w:val="008678EC"/>
    <w:rsid w:val="00876263"/>
    <w:rsid w:val="008809C0"/>
    <w:rsid w:val="00881E73"/>
    <w:rsid w:val="00894690"/>
    <w:rsid w:val="00897A65"/>
    <w:rsid w:val="008B7C21"/>
    <w:rsid w:val="008C73FA"/>
    <w:rsid w:val="008D0DD3"/>
    <w:rsid w:val="00902DE2"/>
    <w:rsid w:val="00906805"/>
    <w:rsid w:val="00911003"/>
    <w:rsid w:val="009146ED"/>
    <w:rsid w:val="0092450D"/>
    <w:rsid w:val="009313E0"/>
    <w:rsid w:val="00935F4B"/>
    <w:rsid w:val="009517DC"/>
    <w:rsid w:val="00953B8E"/>
    <w:rsid w:val="0096239F"/>
    <w:rsid w:val="0096276F"/>
    <w:rsid w:val="00970CD0"/>
    <w:rsid w:val="00976500"/>
    <w:rsid w:val="00982BA8"/>
    <w:rsid w:val="00996EA8"/>
    <w:rsid w:val="009A0096"/>
    <w:rsid w:val="009A0A40"/>
    <w:rsid w:val="009A13CB"/>
    <w:rsid w:val="009B3016"/>
    <w:rsid w:val="009B7B95"/>
    <w:rsid w:val="009C2632"/>
    <w:rsid w:val="009C7C60"/>
    <w:rsid w:val="009F1B02"/>
    <w:rsid w:val="009F1C65"/>
    <w:rsid w:val="009F3382"/>
    <w:rsid w:val="00A0292D"/>
    <w:rsid w:val="00A2681D"/>
    <w:rsid w:val="00A27C8F"/>
    <w:rsid w:val="00A609F2"/>
    <w:rsid w:val="00A85C9B"/>
    <w:rsid w:val="00A91542"/>
    <w:rsid w:val="00A93884"/>
    <w:rsid w:val="00A95504"/>
    <w:rsid w:val="00A9685E"/>
    <w:rsid w:val="00AB6AFB"/>
    <w:rsid w:val="00AC6220"/>
    <w:rsid w:val="00AD05FE"/>
    <w:rsid w:val="00AD0E7B"/>
    <w:rsid w:val="00AE0251"/>
    <w:rsid w:val="00AE5EBF"/>
    <w:rsid w:val="00AE7BD5"/>
    <w:rsid w:val="00AF11F5"/>
    <w:rsid w:val="00AF5A01"/>
    <w:rsid w:val="00B01375"/>
    <w:rsid w:val="00B02CBA"/>
    <w:rsid w:val="00B108E9"/>
    <w:rsid w:val="00B110E6"/>
    <w:rsid w:val="00B13E77"/>
    <w:rsid w:val="00B2506A"/>
    <w:rsid w:val="00B272FC"/>
    <w:rsid w:val="00B448C9"/>
    <w:rsid w:val="00B62E60"/>
    <w:rsid w:val="00B70438"/>
    <w:rsid w:val="00B721E8"/>
    <w:rsid w:val="00B72E9E"/>
    <w:rsid w:val="00B772A2"/>
    <w:rsid w:val="00B775F1"/>
    <w:rsid w:val="00B83B71"/>
    <w:rsid w:val="00B85A1F"/>
    <w:rsid w:val="00BA1A32"/>
    <w:rsid w:val="00BA390A"/>
    <w:rsid w:val="00BA67A6"/>
    <w:rsid w:val="00BA746E"/>
    <w:rsid w:val="00BB1758"/>
    <w:rsid w:val="00BB71A7"/>
    <w:rsid w:val="00BB721E"/>
    <w:rsid w:val="00BC10AD"/>
    <w:rsid w:val="00BC4521"/>
    <w:rsid w:val="00BE6A1D"/>
    <w:rsid w:val="00BF4FEF"/>
    <w:rsid w:val="00BF56B9"/>
    <w:rsid w:val="00C037E3"/>
    <w:rsid w:val="00C048CE"/>
    <w:rsid w:val="00C04CEF"/>
    <w:rsid w:val="00C11D1A"/>
    <w:rsid w:val="00C1294A"/>
    <w:rsid w:val="00C2041C"/>
    <w:rsid w:val="00C21F99"/>
    <w:rsid w:val="00C23230"/>
    <w:rsid w:val="00C23D14"/>
    <w:rsid w:val="00C23FC8"/>
    <w:rsid w:val="00C312DD"/>
    <w:rsid w:val="00C408C9"/>
    <w:rsid w:val="00C46012"/>
    <w:rsid w:val="00C53533"/>
    <w:rsid w:val="00C57B1A"/>
    <w:rsid w:val="00C75A27"/>
    <w:rsid w:val="00C77996"/>
    <w:rsid w:val="00C779B8"/>
    <w:rsid w:val="00C839EB"/>
    <w:rsid w:val="00C961FE"/>
    <w:rsid w:val="00CA63F8"/>
    <w:rsid w:val="00CA798D"/>
    <w:rsid w:val="00CB0A90"/>
    <w:rsid w:val="00CB640A"/>
    <w:rsid w:val="00CD0355"/>
    <w:rsid w:val="00CD4BEB"/>
    <w:rsid w:val="00D03A9F"/>
    <w:rsid w:val="00D06722"/>
    <w:rsid w:val="00D156EB"/>
    <w:rsid w:val="00D3394B"/>
    <w:rsid w:val="00D34102"/>
    <w:rsid w:val="00D34977"/>
    <w:rsid w:val="00D46973"/>
    <w:rsid w:val="00D54A7D"/>
    <w:rsid w:val="00D65DDF"/>
    <w:rsid w:val="00D725D6"/>
    <w:rsid w:val="00D72C37"/>
    <w:rsid w:val="00D81026"/>
    <w:rsid w:val="00D87BE9"/>
    <w:rsid w:val="00DA1B68"/>
    <w:rsid w:val="00DA4041"/>
    <w:rsid w:val="00DA685B"/>
    <w:rsid w:val="00DA6D3B"/>
    <w:rsid w:val="00DB5DBB"/>
    <w:rsid w:val="00DC0903"/>
    <w:rsid w:val="00DC0FE9"/>
    <w:rsid w:val="00DC7141"/>
    <w:rsid w:val="00DD2B64"/>
    <w:rsid w:val="00DD6779"/>
    <w:rsid w:val="00DD6939"/>
    <w:rsid w:val="00DF1BEC"/>
    <w:rsid w:val="00DF78FB"/>
    <w:rsid w:val="00E317F6"/>
    <w:rsid w:val="00E333A9"/>
    <w:rsid w:val="00E34383"/>
    <w:rsid w:val="00E36016"/>
    <w:rsid w:val="00E40411"/>
    <w:rsid w:val="00E51DD9"/>
    <w:rsid w:val="00E56B1C"/>
    <w:rsid w:val="00E63162"/>
    <w:rsid w:val="00E65B90"/>
    <w:rsid w:val="00E8477C"/>
    <w:rsid w:val="00EB201D"/>
    <w:rsid w:val="00EB31E4"/>
    <w:rsid w:val="00EB3550"/>
    <w:rsid w:val="00EB5757"/>
    <w:rsid w:val="00EC0BBE"/>
    <w:rsid w:val="00EC290B"/>
    <w:rsid w:val="00ED175D"/>
    <w:rsid w:val="00ED7D38"/>
    <w:rsid w:val="00EE4A42"/>
    <w:rsid w:val="00EF0F7F"/>
    <w:rsid w:val="00EF441F"/>
    <w:rsid w:val="00F0064F"/>
    <w:rsid w:val="00F03C84"/>
    <w:rsid w:val="00F05FAD"/>
    <w:rsid w:val="00F07EC4"/>
    <w:rsid w:val="00F07F39"/>
    <w:rsid w:val="00F215B3"/>
    <w:rsid w:val="00F257DC"/>
    <w:rsid w:val="00F3012B"/>
    <w:rsid w:val="00F34E09"/>
    <w:rsid w:val="00F456E8"/>
    <w:rsid w:val="00F540EC"/>
    <w:rsid w:val="00F550B1"/>
    <w:rsid w:val="00F55AA1"/>
    <w:rsid w:val="00F60E64"/>
    <w:rsid w:val="00F73422"/>
    <w:rsid w:val="00F751E7"/>
    <w:rsid w:val="00F755A3"/>
    <w:rsid w:val="00F906FB"/>
    <w:rsid w:val="00F92C01"/>
    <w:rsid w:val="00FA0935"/>
    <w:rsid w:val="00FD3D12"/>
    <w:rsid w:val="00FE2743"/>
    <w:rsid w:val="00FE64D5"/>
    <w:rsid w:val="00FE7D28"/>
    <w:rsid w:val="00FF2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hapeDefaults>
    <o:shapedefaults v:ext="edit" spidmax="2052"/>
    <o:shapelayout v:ext="edit">
      <o:idmap v:ext="edit" data="1"/>
    </o:shapelayout>
  </w:shapeDefaults>
  <w:decimalSymbol w:val=","/>
  <w:listSeparator w:val=";"/>
  <w15:docId w15:val="{C615F16C-36A3-4CF1-855E-C252F03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CB"/>
    <w:rPr>
      <w:rFonts w:ascii="Calibri" w:hAnsi="Calibri"/>
      <w:sz w:val="22"/>
      <w:szCs w:val="24"/>
    </w:rPr>
  </w:style>
  <w:style w:type="paragraph" w:styleId="Ttulo1">
    <w:name w:val="heading 1"/>
    <w:basedOn w:val="Normal"/>
    <w:next w:val="Normal"/>
    <w:link w:val="Ttulo1Car"/>
    <w:uiPriority w:val="99"/>
    <w:qFormat/>
    <w:rsid w:val="00D06722"/>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02DE2"/>
    <w:rPr>
      <w:rFonts w:ascii="Cambria" w:hAnsi="Cambria" w:cs="Times New Roman"/>
      <w:b/>
      <w:bCs/>
      <w:kern w:val="32"/>
      <w:sz w:val="32"/>
      <w:szCs w:val="32"/>
    </w:rPr>
  </w:style>
  <w:style w:type="paragraph" w:styleId="Encabezado">
    <w:name w:val="header"/>
    <w:basedOn w:val="Normal"/>
    <w:link w:val="EncabezadoCar"/>
    <w:uiPriority w:val="99"/>
    <w:rsid w:val="00A95504"/>
    <w:pPr>
      <w:tabs>
        <w:tab w:val="center" w:pos="4252"/>
        <w:tab w:val="right" w:pos="8504"/>
      </w:tabs>
    </w:pPr>
    <w:rPr>
      <w:sz w:val="24"/>
      <w:szCs w:val="20"/>
    </w:rPr>
  </w:style>
  <w:style w:type="character" w:customStyle="1" w:styleId="HeaderChar">
    <w:name w:val="Header Char"/>
    <w:uiPriority w:val="99"/>
    <w:semiHidden/>
    <w:locked/>
    <w:rsid w:val="00902DE2"/>
    <w:rPr>
      <w:rFonts w:ascii="Calibri" w:hAnsi="Calibri" w:cs="Times New Roman"/>
      <w:sz w:val="24"/>
      <w:szCs w:val="24"/>
    </w:rPr>
  </w:style>
  <w:style w:type="paragraph" w:styleId="Piedepgina">
    <w:name w:val="footer"/>
    <w:basedOn w:val="Normal"/>
    <w:link w:val="PiedepginaCar"/>
    <w:uiPriority w:val="99"/>
    <w:rsid w:val="00A95504"/>
    <w:pPr>
      <w:tabs>
        <w:tab w:val="center" w:pos="4252"/>
        <w:tab w:val="right" w:pos="8504"/>
      </w:tabs>
    </w:pPr>
  </w:style>
  <w:style w:type="character" w:customStyle="1" w:styleId="PiedepginaCar">
    <w:name w:val="Pie de página Car"/>
    <w:link w:val="Piedepgina"/>
    <w:uiPriority w:val="99"/>
    <w:locked/>
    <w:rsid w:val="002972E8"/>
    <w:rPr>
      <w:rFonts w:ascii="Calibri" w:hAnsi="Calibri" w:cs="Times New Roman"/>
      <w:sz w:val="24"/>
    </w:rPr>
  </w:style>
  <w:style w:type="character" w:styleId="Nmerodepgina">
    <w:name w:val="page number"/>
    <w:uiPriority w:val="99"/>
    <w:rsid w:val="00A95504"/>
    <w:rPr>
      <w:rFonts w:cs="Times New Roman"/>
    </w:rPr>
  </w:style>
  <w:style w:type="paragraph" w:styleId="NormalWeb">
    <w:name w:val="Normal (Web)"/>
    <w:basedOn w:val="Normal"/>
    <w:uiPriority w:val="99"/>
    <w:rsid w:val="00F550B1"/>
    <w:pPr>
      <w:spacing w:before="100" w:beforeAutospacing="1" w:after="100" w:afterAutospacing="1"/>
    </w:pPr>
    <w:rPr>
      <w:rFonts w:ascii="Times" w:hAnsi="Times"/>
      <w:sz w:val="20"/>
      <w:szCs w:val="20"/>
    </w:rPr>
  </w:style>
  <w:style w:type="character" w:styleId="Hipervnculo">
    <w:name w:val="Hyperlink"/>
    <w:uiPriority w:val="99"/>
    <w:rsid w:val="00F550B1"/>
    <w:rPr>
      <w:rFonts w:cs="Times New Roman"/>
      <w:color w:val="0000FF"/>
      <w:u w:val="single"/>
    </w:rPr>
  </w:style>
  <w:style w:type="paragraph" w:customStyle="1" w:styleId="Cuadrculaclara-nfasis31">
    <w:name w:val="Cuadrícula clara - Énfasis 31"/>
    <w:basedOn w:val="Normal"/>
    <w:uiPriority w:val="99"/>
    <w:rsid w:val="00C839EB"/>
    <w:pPr>
      <w:ind w:left="720"/>
      <w:contextualSpacing/>
    </w:pPr>
    <w:rPr>
      <w:rFonts w:ascii="Times" w:eastAsia="MS Mincho" w:hAnsi="Times"/>
      <w:sz w:val="20"/>
      <w:szCs w:val="20"/>
    </w:rPr>
  </w:style>
  <w:style w:type="table" w:styleId="Tablaconcuadrcula">
    <w:name w:val="Table Grid"/>
    <w:basedOn w:val="Tablanormal"/>
    <w:uiPriority w:val="99"/>
    <w:rsid w:val="003E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687E42"/>
    <w:rPr>
      <w:sz w:val="20"/>
      <w:szCs w:val="20"/>
    </w:rPr>
  </w:style>
  <w:style w:type="character" w:customStyle="1" w:styleId="TextonotapieCar">
    <w:name w:val="Texto nota pie Car"/>
    <w:link w:val="Textonotapie"/>
    <w:uiPriority w:val="99"/>
    <w:locked/>
    <w:rsid w:val="00687E42"/>
    <w:rPr>
      <w:rFonts w:ascii="Calibri" w:hAnsi="Calibri" w:cs="Times New Roman"/>
    </w:rPr>
  </w:style>
  <w:style w:type="character" w:styleId="Refdenotaalpie">
    <w:name w:val="footnote reference"/>
    <w:uiPriority w:val="99"/>
    <w:rsid w:val="004B3B10"/>
    <w:rPr>
      <w:rFonts w:cs="Times New Roman"/>
      <w:vertAlign w:val="superscript"/>
    </w:rPr>
  </w:style>
  <w:style w:type="paragraph" w:styleId="Textodeglobo">
    <w:name w:val="Balloon Text"/>
    <w:basedOn w:val="Normal"/>
    <w:link w:val="TextodegloboCar"/>
    <w:uiPriority w:val="99"/>
    <w:rsid w:val="0082235F"/>
    <w:rPr>
      <w:rFonts w:ascii="Lucida Grande" w:hAnsi="Lucida Grande" w:cs="Lucida Grande"/>
      <w:sz w:val="18"/>
      <w:szCs w:val="18"/>
    </w:rPr>
  </w:style>
  <w:style w:type="character" w:customStyle="1" w:styleId="TextodegloboCar">
    <w:name w:val="Texto de globo Car"/>
    <w:link w:val="Textodeglobo"/>
    <w:uiPriority w:val="99"/>
    <w:locked/>
    <w:rsid w:val="0082235F"/>
    <w:rPr>
      <w:rFonts w:ascii="Lucida Grande" w:hAnsi="Lucida Grande" w:cs="Lucida Grande"/>
      <w:sz w:val="18"/>
      <w:szCs w:val="18"/>
    </w:rPr>
  </w:style>
  <w:style w:type="character" w:customStyle="1" w:styleId="EncabezadoCar">
    <w:name w:val="Encabezado Car"/>
    <w:link w:val="Encabezado"/>
    <w:uiPriority w:val="99"/>
    <w:locked/>
    <w:rsid w:val="00FE7D28"/>
    <w:rPr>
      <w:rFonts w:ascii="Calibri" w:hAnsi="Calibri"/>
      <w:sz w:val="24"/>
      <w:lang w:val="es-ES" w:eastAsia="es-ES"/>
    </w:rPr>
  </w:style>
  <w:style w:type="character" w:customStyle="1" w:styleId="CarCar3">
    <w:name w:val="Car Car3"/>
    <w:uiPriority w:val="99"/>
    <w:rsid w:val="00FE7D28"/>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91842">
      <w:marLeft w:val="0"/>
      <w:marRight w:val="0"/>
      <w:marTop w:val="0"/>
      <w:marBottom w:val="0"/>
      <w:divBdr>
        <w:top w:val="none" w:sz="0" w:space="0" w:color="auto"/>
        <w:left w:val="none" w:sz="0" w:space="0" w:color="auto"/>
        <w:bottom w:val="none" w:sz="0" w:space="0" w:color="auto"/>
        <w:right w:val="none" w:sz="0" w:space="0" w:color="auto"/>
      </w:divBdr>
    </w:div>
    <w:div w:id="1114791846">
      <w:marLeft w:val="0"/>
      <w:marRight w:val="0"/>
      <w:marTop w:val="0"/>
      <w:marBottom w:val="0"/>
      <w:divBdr>
        <w:top w:val="none" w:sz="0" w:space="0" w:color="auto"/>
        <w:left w:val="none" w:sz="0" w:space="0" w:color="auto"/>
        <w:bottom w:val="none" w:sz="0" w:space="0" w:color="auto"/>
        <w:right w:val="none" w:sz="0" w:space="0" w:color="auto"/>
      </w:divBdr>
    </w:div>
    <w:div w:id="1114791847">
      <w:marLeft w:val="0"/>
      <w:marRight w:val="0"/>
      <w:marTop w:val="0"/>
      <w:marBottom w:val="0"/>
      <w:divBdr>
        <w:top w:val="none" w:sz="0" w:space="0" w:color="auto"/>
        <w:left w:val="none" w:sz="0" w:space="0" w:color="auto"/>
        <w:bottom w:val="none" w:sz="0" w:space="0" w:color="auto"/>
        <w:right w:val="none" w:sz="0" w:space="0" w:color="auto"/>
      </w:divBdr>
    </w:div>
    <w:div w:id="1114791849">
      <w:marLeft w:val="0"/>
      <w:marRight w:val="0"/>
      <w:marTop w:val="0"/>
      <w:marBottom w:val="0"/>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
    <w:div w:id="1114791853">
      <w:marLeft w:val="0"/>
      <w:marRight w:val="0"/>
      <w:marTop w:val="0"/>
      <w:marBottom w:val="0"/>
      <w:divBdr>
        <w:top w:val="none" w:sz="0" w:space="0" w:color="auto"/>
        <w:left w:val="none" w:sz="0" w:space="0" w:color="auto"/>
        <w:bottom w:val="none" w:sz="0" w:space="0" w:color="auto"/>
        <w:right w:val="none" w:sz="0" w:space="0" w:color="auto"/>
      </w:divBdr>
    </w:div>
    <w:div w:id="1114791855">
      <w:marLeft w:val="0"/>
      <w:marRight w:val="0"/>
      <w:marTop w:val="0"/>
      <w:marBottom w:val="0"/>
      <w:divBdr>
        <w:top w:val="none" w:sz="0" w:space="0" w:color="auto"/>
        <w:left w:val="none" w:sz="0" w:space="0" w:color="auto"/>
        <w:bottom w:val="none" w:sz="0" w:space="0" w:color="auto"/>
        <w:right w:val="none" w:sz="0" w:space="0" w:color="auto"/>
      </w:divBdr>
    </w:div>
    <w:div w:id="1114791857">
      <w:marLeft w:val="0"/>
      <w:marRight w:val="0"/>
      <w:marTop w:val="0"/>
      <w:marBottom w:val="0"/>
      <w:divBdr>
        <w:top w:val="none" w:sz="0" w:space="0" w:color="auto"/>
        <w:left w:val="none" w:sz="0" w:space="0" w:color="auto"/>
        <w:bottom w:val="none" w:sz="0" w:space="0" w:color="auto"/>
        <w:right w:val="none" w:sz="0" w:space="0" w:color="auto"/>
      </w:divBdr>
      <w:divsChild>
        <w:div w:id="1114791854">
          <w:marLeft w:val="1267"/>
          <w:marRight w:val="0"/>
          <w:marTop w:val="0"/>
          <w:marBottom w:val="0"/>
          <w:divBdr>
            <w:top w:val="none" w:sz="0" w:space="0" w:color="auto"/>
            <w:left w:val="none" w:sz="0" w:space="0" w:color="auto"/>
            <w:bottom w:val="none" w:sz="0" w:space="0" w:color="auto"/>
            <w:right w:val="none" w:sz="0" w:space="0" w:color="auto"/>
          </w:divBdr>
        </w:div>
        <w:div w:id="1114791866">
          <w:marLeft w:val="1886"/>
          <w:marRight w:val="0"/>
          <w:marTop w:val="0"/>
          <w:marBottom w:val="0"/>
          <w:divBdr>
            <w:top w:val="none" w:sz="0" w:space="0" w:color="auto"/>
            <w:left w:val="none" w:sz="0" w:space="0" w:color="auto"/>
            <w:bottom w:val="none" w:sz="0" w:space="0" w:color="auto"/>
            <w:right w:val="none" w:sz="0" w:space="0" w:color="auto"/>
          </w:divBdr>
        </w:div>
        <w:div w:id="1114791870">
          <w:marLeft w:val="1886"/>
          <w:marRight w:val="0"/>
          <w:marTop w:val="0"/>
          <w:marBottom w:val="0"/>
          <w:divBdr>
            <w:top w:val="none" w:sz="0" w:space="0" w:color="auto"/>
            <w:left w:val="none" w:sz="0" w:space="0" w:color="auto"/>
            <w:bottom w:val="none" w:sz="0" w:space="0" w:color="auto"/>
            <w:right w:val="none" w:sz="0" w:space="0" w:color="auto"/>
          </w:divBdr>
        </w:div>
        <w:div w:id="1114791884">
          <w:marLeft w:val="1267"/>
          <w:marRight w:val="0"/>
          <w:marTop w:val="0"/>
          <w:marBottom w:val="0"/>
          <w:divBdr>
            <w:top w:val="none" w:sz="0" w:space="0" w:color="auto"/>
            <w:left w:val="none" w:sz="0" w:space="0" w:color="auto"/>
            <w:bottom w:val="none" w:sz="0" w:space="0" w:color="auto"/>
            <w:right w:val="none" w:sz="0" w:space="0" w:color="auto"/>
          </w:divBdr>
        </w:div>
        <w:div w:id="1114791900">
          <w:marLeft w:val="446"/>
          <w:marRight w:val="0"/>
          <w:marTop w:val="0"/>
          <w:marBottom w:val="0"/>
          <w:divBdr>
            <w:top w:val="none" w:sz="0" w:space="0" w:color="auto"/>
            <w:left w:val="none" w:sz="0" w:space="0" w:color="auto"/>
            <w:bottom w:val="none" w:sz="0" w:space="0" w:color="auto"/>
            <w:right w:val="none" w:sz="0" w:space="0" w:color="auto"/>
          </w:divBdr>
        </w:div>
        <w:div w:id="1114791904">
          <w:marLeft w:val="446"/>
          <w:marRight w:val="0"/>
          <w:marTop w:val="0"/>
          <w:marBottom w:val="0"/>
          <w:divBdr>
            <w:top w:val="none" w:sz="0" w:space="0" w:color="auto"/>
            <w:left w:val="none" w:sz="0" w:space="0" w:color="auto"/>
            <w:bottom w:val="none" w:sz="0" w:space="0" w:color="auto"/>
            <w:right w:val="none" w:sz="0" w:space="0" w:color="auto"/>
          </w:divBdr>
        </w:div>
        <w:div w:id="1114791908">
          <w:marLeft w:val="1886"/>
          <w:marRight w:val="0"/>
          <w:marTop w:val="0"/>
          <w:marBottom w:val="0"/>
          <w:divBdr>
            <w:top w:val="none" w:sz="0" w:space="0" w:color="auto"/>
            <w:left w:val="none" w:sz="0" w:space="0" w:color="auto"/>
            <w:bottom w:val="none" w:sz="0" w:space="0" w:color="auto"/>
            <w:right w:val="none" w:sz="0" w:space="0" w:color="auto"/>
          </w:divBdr>
        </w:div>
      </w:divsChild>
    </w:div>
    <w:div w:id="1114791858">
      <w:marLeft w:val="0"/>
      <w:marRight w:val="0"/>
      <w:marTop w:val="0"/>
      <w:marBottom w:val="0"/>
      <w:divBdr>
        <w:top w:val="none" w:sz="0" w:space="0" w:color="auto"/>
        <w:left w:val="none" w:sz="0" w:space="0" w:color="auto"/>
        <w:bottom w:val="none" w:sz="0" w:space="0" w:color="auto"/>
        <w:right w:val="none" w:sz="0" w:space="0" w:color="auto"/>
      </w:divBdr>
    </w:div>
    <w:div w:id="1114791859">
      <w:marLeft w:val="0"/>
      <w:marRight w:val="0"/>
      <w:marTop w:val="0"/>
      <w:marBottom w:val="0"/>
      <w:divBdr>
        <w:top w:val="none" w:sz="0" w:space="0" w:color="auto"/>
        <w:left w:val="none" w:sz="0" w:space="0" w:color="auto"/>
        <w:bottom w:val="none" w:sz="0" w:space="0" w:color="auto"/>
        <w:right w:val="none" w:sz="0" w:space="0" w:color="auto"/>
      </w:divBdr>
    </w:div>
    <w:div w:id="1114791860">
      <w:marLeft w:val="0"/>
      <w:marRight w:val="0"/>
      <w:marTop w:val="0"/>
      <w:marBottom w:val="0"/>
      <w:divBdr>
        <w:top w:val="none" w:sz="0" w:space="0" w:color="auto"/>
        <w:left w:val="none" w:sz="0" w:space="0" w:color="auto"/>
        <w:bottom w:val="none" w:sz="0" w:space="0" w:color="auto"/>
        <w:right w:val="none" w:sz="0" w:space="0" w:color="auto"/>
      </w:divBdr>
    </w:div>
    <w:div w:id="1114791861">
      <w:marLeft w:val="0"/>
      <w:marRight w:val="0"/>
      <w:marTop w:val="0"/>
      <w:marBottom w:val="0"/>
      <w:divBdr>
        <w:top w:val="none" w:sz="0" w:space="0" w:color="auto"/>
        <w:left w:val="none" w:sz="0" w:space="0" w:color="auto"/>
        <w:bottom w:val="none" w:sz="0" w:space="0" w:color="auto"/>
        <w:right w:val="none" w:sz="0" w:space="0" w:color="auto"/>
      </w:divBdr>
    </w:div>
    <w:div w:id="1114791862">
      <w:marLeft w:val="0"/>
      <w:marRight w:val="0"/>
      <w:marTop w:val="0"/>
      <w:marBottom w:val="0"/>
      <w:divBdr>
        <w:top w:val="none" w:sz="0" w:space="0" w:color="auto"/>
        <w:left w:val="none" w:sz="0" w:space="0" w:color="auto"/>
        <w:bottom w:val="none" w:sz="0" w:space="0" w:color="auto"/>
        <w:right w:val="none" w:sz="0" w:space="0" w:color="auto"/>
      </w:divBdr>
    </w:div>
    <w:div w:id="1114791863">
      <w:marLeft w:val="0"/>
      <w:marRight w:val="0"/>
      <w:marTop w:val="0"/>
      <w:marBottom w:val="0"/>
      <w:divBdr>
        <w:top w:val="none" w:sz="0" w:space="0" w:color="auto"/>
        <w:left w:val="none" w:sz="0" w:space="0" w:color="auto"/>
        <w:bottom w:val="none" w:sz="0" w:space="0" w:color="auto"/>
        <w:right w:val="none" w:sz="0" w:space="0" w:color="auto"/>
      </w:divBdr>
    </w:div>
    <w:div w:id="1114791864">
      <w:marLeft w:val="0"/>
      <w:marRight w:val="0"/>
      <w:marTop w:val="0"/>
      <w:marBottom w:val="0"/>
      <w:divBdr>
        <w:top w:val="none" w:sz="0" w:space="0" w:color="auto"/>
        <w:left w:val="none" w:sz="0" w:space="0" w:color="auto"/>
        <w:bottom w:val="none" w:sz="0" w:space="0" w:color="auto"/>
        <w:right w:val="none" w:sz="0" w:space="0" w:color="auto"/>
      </w:divBdr>
    </w:div>
    <w:div w:id="1114791865">
      <w:marLeft w:val="0"/>
      <w:marRight w:val="0"/>
      <w:marTop w:val="0"/>
      <w:marBottom w:val="0"/>
      <w:divBdr>
        <w:top w:val="none" w:sz="0" w:space="0" w:color="auto"/>
        <w:left w:val="none" w:sz="0" w:space="0" w:color="auto"/>
        <w:bottom w:val="none" w:sz="0" w:space="0" w:color="auto"/>
        <w:right w:val="none" w:sz="0" w:space="0" w:color="auto"/>
      </w:divBdr>
    </w:div>
    <w:div w:id="1114791868">
      <w:marLeft w:val="0"/>
      <w:marRight w:val="0"/>
      <w:marTop w:val="0"/>
      <w:marBottom w:val="0"/>
      <w:divBdr>
        <w:top w:val="none" w:sz="0" w:space="0" w:color="auto"/>
        <w:left w:val="none" w:sz="0" w:space="0" w:color="auto"/>
        <w:bottom w:val="none" w:sz="0" w:space="0" w:color="auto"/>
        <w:right w:val="none" w:sz="0" w:space="0" w:color="auto"/>
      </w:divBdr>
    </w:div>
    <w:div w:id="1114791869">
      <w:marLeft w:val="0"/>
      <w:marRight w:val="0"/>
      <w:marTop w:val="0"/>
      <w:marBottom w:val="0"/>
      <w:divBdr>
        <w:top w:val="none" w:sz="0" w:space="0" w:color="auto"/>
        <w:left w:val="none" w:sz="0" w:space="0" w:color="auto"/>
        <w:bottom w:val="none" w:sz="0" w:space="0" w:color="auto"/>
        <w:right w:val="none" w:sz="0" w:space="0" w:color="auto"/>
      </w:divBdr>
    </w:div>
    <w:div w:id="1114791871">
      <w:marLeft w:val="0"/>
      <w:marRight w:val="0"/>
      <w:marTop w:val="0"/>
      <w:marBottom w:val="0"/>
      <w:divBdr>
        <w:top w:val="none" w:sz="0" w:space="0" w:color="auto"/>
        <w:left w:val="none" w:sz="0" w:space="0" w:color="auto"/>
        <w:bottom w:val="none" w:sz="0" w:space="0" w:color="auto"/>
        <w:right w:val="none" w:sz="0" w:space="0" w:color="auto"/>
      </w:divBdr>
    </w:div>
    <w:div w:id="1114791873">
      <w:marLeft w:val="0"/>
      <w:marRight w:val="0"/>
      <w:marTop w:val="0"/>
      <w:marBottom w:val="0"/>
      <w:divBdr>
        <w:top w:val="none" w:sz="0" w:space="0" w:color="auto"/>
        <w:left w:val="none" w:sz="0" w:space="0" w:color="auto"/>
        <w:bottom w:val="none" w:sz="0" w:space="0" w:color="auto"/>
        <w:right w:val="none" w:sz="0" w:space="0" w:color="auto"/>
      </w:divBdr>
    </w:div>
    <w:div w:id="1114791874">
      <w:marLeft w:val="0"/>
      <w:marRight w:val="0"/>
      <w:marTop w:val="0"/>
      <w:marBottom w:val="0"/>
      <w:divBdr>
        <w:top w:val="none" w:sz="0" w:space="0" w:color="auto"/>
        <w:left w:val="none" w:sz="0" w:space="0" w:color="auto"/>
        <w:bottom w:val="none" w:sz="0" w:space="0" w:color="auto"/>
        <w:right w:val="none" w:sz="0" w:space="0" w:color="auto"/>
      </w:divBdr>
    </w:div>
    <w:div w:id="1114791875">
      <w:marLeft w:val="0"/>
      <w:marRight w:val="0"/>
      <w:marTop w:val="0"/>
      <w:marBottom w:val="0"/>
      <w:divBdr>
        <w:top w:val="none" w:sz="0" w:space="0" w:color="auto"/>
        <w:left w:val="none" w:sz="0" w:space="0" w:color="auto"/>
        <w:bottom w:val="none" w:sz="0" w:space="0" w:color="auto"/>
        <w:right w:val="none" w:sz="0" w:space="0" w:color="auto"/>
      </w:divBdr>
    </w:div>
    <w:div w:id="1114791876">
      <w:marLeft w:val="0"/>
      <w:marRight w:val="0"/>
      <w:marTop w:val="0"/>
      <w:marBottom w:val="0"/>
      <w:divBdr>
        <w:top w:val="none" w:sz="0" w:space="0" w:color="auto"/>
        <w:left w:val="none" w:sz="0" w:space="0" w:color="auto"/>
        <w:bottom w:val="none" w:sz="0" w:space="0" w:color="auto"/>
        <w:right w:val="none" w:sz="0" w:space="0" w:color="auto"/>
      </w:divBdr>
    </w:div>
    <w:div w:id="1114791877">
      <w:marLeft w:val="0"/>
      <w:marRight w:val="0"/>
      <w:marTop w:val="0"/>
      <w:marBottom w:val="0"/>
      <w:divBdr>
        <w:top w:val="none" w:sz="0" w:space="0" w:color="auto"/>
        <w:left w:val="none" w:sz="0" w:space="0" w:color="auto"/>
        <w:bottom w:val="none" w:sz="0" w:space="0" w:color="auto"/>
        <w:right w:val="none" w:sz="0" w:space="0" w:color="auto"/>
      </w:divBdr>
    </w:div>
    <w:div w:id="1114791878">
      <w:marLeft w:val="0"/>
      <w:marRight w:val="0"/>
      <w:marTop w:val="0"/>
      <w:marBottom w:val="0"/>
      <w:divBdr>
        <w:top w:val="none" w:sz="0" w:space="0" w:color="auto"/>
        <w:left w:val="none" w:sz="0" w:space="0" w:color="auto"/>
        <w:bottom w:val="none" w:sz="0" w:space="0" w:color="auto"/>
        <w:right w:val="none" w:sz="0" w:space="0" w:color="auto"/>
      </w:divBdr>
    </w:div>
    <w:div w:id="1114791879">
      <w:marLeft w:val="0"/>
      <w:marRight w:val="0"/>
      <w:marTop w:val="0"/>
      <w:marBottom w:val="0"/>
      <w:divBdr>
        <w:top w:val="none" w:sz="0" w:space="0" w:color="auto"/>
        <w:left w:val="none" w:sz="0" w:space="0" w:color="auto"/>
        <w:bottom w:val="none" w:sz="0" w:space="0" w:color="auto"/>
        <w:right w:val="none" w:sz="0" w:space="0" w:color="auto"/>
      </w:divBdr>
      <w:divsChild>
        <w:div w:id="1114791872">
          <w:marLeft w:val="0"/>
          <w:marRight w:val="0"/>
          <w:marTop w:val="0"/>
          <w:marBottom w:val="0"/>
          <w:divBdr>
            <w:top w:val="none" w:sz="0" w:space="0" w:color="auto"/>
            <w:left w:val="none" w:sz="0" w:space="0" w:color="auto"/>
            <w:bottom w:val="none" w:sz="0" w:space="0" w:color="auto"/>
            <w:right w:val="none" w:sz="0" w:space="0" w:color="auto"/>
          </w:divBdr>
        </w:div>
      </w:divsChild>
    </w:div>
    <w:div w:id="1114791880">
      <w:marLeft w:val="0"/>
      <w:marRight w:val="0"/>
      <w:marTop w:val="0"/>
      <w:marBottom w:val="0"/>
      <w:divBdr>
        <w:top w:val="none" w:sz="0" w:space="0" w:color="auto"/>
        <w:left w:val="none" w:sz="0" w:space="0" w:color="auto"/>
        <w:bottom w:val="none" w:sz="0" w:space="0" w:color="auto"/>
        <w:right w:val="none" w:sz="0" w:space="0" w:color="auto"/>
      </w:divBdr>
      <w:divsChild>
        <w:div w:id="1114791912">
          <w:marLeft w:val="720"/>
          <w:marRight w:val="0"/>
          <w:marTop w:val="0"/>
          <w:marBottom w:val="0"/>
          <w:divBdr>
            <w:top w:val="none" w:sz="0" w:space="0" w:color="auto"/>
            <w:left w:val="none" w:sz="0" w:space="0" w:color="auto"/>
            <w:bottom w:val="none" w:sz="0" w:space="0" w:color="auto"/>
            <w:right w:val="none" w:sz="0" w:space="0" w:color="auto"/>
          </w:divBdr>
        </w:div>
      </w:divsChild>
    </w:div>
    <w:div w:id="1114791881">
      <w:marLeft w:val="0"/>
      <w:marRight w:val="0"/>
      <w:marTop w:val="0"/>
      <w:marBottom w:val="0"/>
      <w:divBdr>
        <w:top w:val="none" w:sz="0" w:space="0" w:color="auto"/>
        <w:left w:val="none" w:sz="0" w:space="0" w:color="auto"/>
        <w:bottom w:val="none" w:sz="0" w:space="0" w:color="auto"/>
        <w:right w:val="none" w:sz="0" w:space="0" w:color="auto"/>
      </w:divBdr>
    </w:div>
    <w:div w:id="1114791882">
      <w:marLeft w:val="0"/>
      <w:marRight w:val="0"/>
      <w:marTop w:val="0"/>
      <w:marBottom w:val="0"/>
      <w:divBdr>
        <w:top w:val="none" w:sz="0" w:space="0" w:color="auto"/>
        <w:left w:val="none" w:sz="0" w:space="0" w:color="auto"/>
        <w:bottom w:val="none" w:sz="0" w:space="0" w:color="auto"/>
        <w:right w:val="none" w:sz="0" w:space="0" w:color="auto"/>
      </w:divBdr>
      <w:divsChild>
        <w:div w:id="1114791843">
          <w:marLeft w:val="720"/>
          <w:marRight w:val="0"/>
          <w:marTop w:val="0"/>
          <w:marBottom w:val="0"/>
          <w:divBdr>
            <w:top w:val="none" w:sz="0" w:space="0" w:color="auto"/>
            <w:left w:val="none" w:sz="0" w:space="0" w:color="auto"/>
            <w:bottom w:val="none" w:sz="0" w:space="0" w:color="auto"/>
            <w:right w:val="none" w:sz="0" w:space="0" w:color="auto"/>
          </w:divBdr>
        </w:div>
        <w:div w:id="1114791844">
          <w:marLeft w:val="720"/>
          <w:marRight w:val="0"/>
          <w:marTop w:val="0"/>
          <w:marBottom w:val="0"/>
          <w:divBdr>
            <w:top w:val="none" w:sz="0" w:space="0" w:color="auto"/>
            <w:left w:val="none" w:sz="0" w:space="0" w:color="auto"/>
            <w:bottom w:val="none" w:sz="0" w:space="0" w:color="auto"/>
            <w:right w:val="none" w:sz="0" w:space="0" w:color="auto"/>
          </w:divBdr>
        </w:div>
        <w:div w:id="1114791845">
          <w:marLeft w:val="720"/>
          <w:marRight w:val="0"/>
          <w:marTop w:val="0"/>
          <w:marBottom w:val="0"/>
          <w:divBdr>
            <w:top w:val="none" w:sz="0" w:space="0" w:color="auto"/>
            <w:left w:val="none" w:sz="0" w:space="0" w:color="auto"/>
            <w:bottom w:val="none" w:sz="0" w:space="0" w:color="auto"/>
            <w:right w:val="none" w:sz="0" w:space="0" w:color="auto"/>
          </w:divBdr>
        </w:div>
        <w:div w:id="1114791851">
          <w:marLeft w:val="720"/>
          <w:marRight w:val="0"/>
          <w:marTop w:val="0"/>
          <w:marBottom w:val="0"/>
          <w:divBdr>
            <w:top w:val="none" w:sz="0" w:space="0" w:color="auto"/>
            <w:left w:val="none" w:sz="0" w:space="0" w:color="auto"/>
            <w:bottom w:val="none" w:sz="0" w:space="0" w:color="auto"/>
            <w:right w:val="none" w:sz="0" w:space="0" w:color="auto"/>
          </w:divBdr>
        </w:div>
        <w:div w:id="1114791852">
          <w:marLeft w:val="720"/>
          <w:marRight w:val="0"/>
          <w:marTop w:val="0"/>
          <w:marBottom w:val="0"/>
          <w:divBdr>
            <w:top w:val="none" w:sz="0" w:space="0" w:color="auto"/>
            <w:left w:val="none" w:sz="0" w:space="0" w:color="auto"/>
            <w:bottom w:val="none" w:sz="0" w:space="0" w:color="auto"/>
            <w:right w:val="none" w:sz="0" w:space="0" w:color="auto"/>
          </w:divBdr>
        </w:div>
        <w:div w:id="1114791856">
          <w:marLeft w:val="720"/>
          <w:marRight w:val="0"/>
          <w:marTop w:val="0"/>
          <w:marBottom w:val="0"/>
          <w:divBdr>
            <w:top w:val="none" w:sz="0" w:space="0" w:color="auto"/>
            <w:left w:val="none" w:sz="0" w:space="0" w:color="auto"/>
            <w:bottom w:val="none" w:sz="0" w:space="0" w:color="auto"/>
            <w:right w:val="none" w:sz="0" w:space="0" w:color="auto"/>
          </w:divBdr>
        </w:div>
        <w:div w:id="1114791867">
          <w:marLeft w:val="720"/>
          <w:marRight w:val="0"/>
          <w:marTop w:val="0"/>
          <w:marBottom w:val="0"/>
          <w:divBdr>
            <w:top w:val="none" w:sz="0" w:space="0" w:color="auto"/>
            <w:left w:val="none" w:sz="0" w:space="0" w:color="auto"/>
            <w:bottom w:val="none" w:sz="0" w:space="0" w:color="auto"/>
            <w:right w:val="none" w:sz="0" w:space="0" w:color="auto"/>
          </w:divBdr>
        </w:div>
        <w:div w:id="1114791892">
          <w:marLeft w:val="720"/>
          <w:marRight w:val="0"/>
          <w:marTop w:val="0"/>
          <w:marBottom w:val="0"/>
          <w:divBdr>
            <w:top w:val="none" w:sz="0" w:space="0" w:color="auto"/>
            <w:left w:val="none" w:sz="0" w:space="0" w:color="auto"/>
            <w:bottom w:val="none" w:sz="0" w:space="0" w:color="auto"/>
            <w:right w:val="none" w:sz="0" w:space="0" w:color="auto"/>
          </w:divBdr>
        </w:div>
      </w:divsChild>
    </w:div>
    <w:div w:id="1114791883">
      <w:marLeft w:val="0"/>
      <w:marRight w:val="0"/>
      <w:marTop w:val="0"/>
      <w:marBottom w:val="0"/>
      <w:divBdr>
        <w:top w:val="none" w:sz="0" w:space="0" w:color="auto"/>
        <w:left w:val="none" w:sz="0" w:space="0" w:color="auto"/>
        <w:bottom w:val="none" w:sz="0" w:space="0" w:color="auto"/>
        <w:right w:val="none" w:sz="0" w:space="0" w:color="auto"/>
      </w:divBdr>
    </w:div>
    <w:div w:id="1114791885">
      <w:marLeft w:val="0"/>
      <w:marRight w:val="0"/>
      <w:marTop w:val="0"/>
      <w:marBottom w:val="0"/>
      <w:divBdr>
        <w:top w:val="none" w:sz="0" w:space="0" w:color="auto"/>
        <w:left w:val="none" w:sz="0" w:space="0" w:color="auto"/>
        <w:bottom w:val="none" w:sz="0" w:space="0" w:color="auto"/>
        <w:right w:val="none" w:sz="0" w:space="0" w:color="auto"/>
      </w:divBdr>
    </w:div>
    <w:div w:id="1114791886">
      <w:marLeft w:val="0"/>
      <w:marRight w:val="0"/>
      <w:marTop w:val="0"/>
      <w:marBottom w:val="0"/>
      <w:divBdr>
        <w:top w:val="none" w:sz="0" w:space="0" w:color="auto"/>
        <w:left w:val="none" w:sz="0" w:space="0" w:color="auto"/>
        <w:bottom w:val="none" w:sz="0" w:space="0" w:color="auto"/>
        <w:right w:val="none" w:sz="0" w:space="0" w:color="auto"/>
      </w:divBdr>
    </w:div>
    <w:div w:id="1114791887">
      <w:marLeft w:val="0"/>
      <w:marRight w:val="0"/>
      <w:marTop w:val="0"/>
      <w:marBottom w:val="0"/>
      <w:divBdr>
        <w:top w:val="none" w:sz="0" w:space="0" w:color="auto"/>
        <w:left w:val="none" w:sz="0" w:space="0" w:color="auto"/>
        <w:bottom w:val="none" w:sz="0" w:space="0" w:color="auto"/>
        <w:right w:val="none" w:sz="0" w:space="0" w:color="auto"/>
      </w:divBdr>
      <w:divsChild>
        <w:div w:id="1114791848">
          <w:marLeft w:val="0"/>
          <w:marRight w:val="0"/>
          <w:marTop w:val="0"/>
          <w:marBottom w:val="0"/>
          <w:divBdr>
            <w:top w:val="none" w:sz="0" w:space="0" w:color="auto"/>
            <w:left w:val="none" w:sz="0" w:space="0" w:color="auto"/>
            <w:bottom w:val="none" w:sz="0" w:space="0" w:color="auto"/>
            <w:right w:val="none" w:sz="0" w:space="0" w:color="auto"/>
          </w:divBdr>
        </w:div>
      </w:divsChild>
    </w:div>
    <w:div w:id="1114791888">
      <w:marLeft w:val="0"/>
      <w:marRight w:val="0"/>
      <w:marTop w:val="0"/>
      <w:marBottom w:val="0"/>
      <w:divBdr>
        <w:top w:val="none" w:sz="0" w:space="0" w:color="auto"/>
        <w:left w:val="none" w:sz="0" w:space="0" w:color="auto"/>
        <w:bottom w:val="none" w:sz="0" w:space="0" w:color="auto"/>
        <w:right w:val="none" w:sz="0" w:space="0" w:color="auto"/>
      </w:divBdr>
    </w:div>
    <w:div w:id="1114791889">
      <w:marLeft w:val="0"/>
      <w:marRight w:val="0"/>
      <w:marTop w:val="0"/>
      <w:marBottom w:val="0"/>
      <w:divBdr>
        <w:top w:val="none" w:sz="0" w:space="0" w:color="auto"/>
        <w:left w:val="none" w:sz="0" w:space="0" w:color="auto"/>
        <w:bottom w:val="none" w:sz="0" w:space="0" w:color="auto"/>
        <w:right w:val="none" w:sz="0" w:space="0" w:color="auto"/>
      </w:divBdr>
    </w:div>
    <w:div w:id="1114791890">
      <w:marLeft w:val="0"/>
      <w:marRight w:val="0"/>
      <w:marTop w:val="0"/>
      <w:marBottom w:val="0"/>
      <w:divBdr>
        <w:top w:val="none" w:sz="0" w:space="0" w:color="auto"/>
        <w:left w:val="none" w:sz="0" w:space="0" w:color="auto"/>
        <w:bottom w:val="none" w:sz="0" w:space="0" w:color="auto"/>
        <w:right w:val="none" w:sz="0" w:space="0" w:color="auto"/>
      </w:divBdr>
    </w:div>
    <w:div w:id="1114791891">
      <w:marLeft w:val="0"/>
      <w:marRight w:val="0"/>
      <w:marTop w:val="0"/>
      <w:marBottom w:val="0"/>
      <w:divBdr>
        <w:top w:val="none" w:sz="0" w:space="0" w:color="auto"/>
        <w:left w:val="none" w:sz="0" w:space="0" w:color="auto"/>
        <w:bottom w:val="none" w:sz="0" w:space="0" w:color="auto"/>
        <w:right w:val="none" w:sz="0" w:space="0" w:color="auto"/>
      </w:divBdr>
    </w:div>
    <w:div w:id="1114791893">
      <w:marLeft w:val="0"/>
      <w:marRight w:val="0"/>
      <w:marTop w:val="0"/>
      <w:marBottom w:val="0"/>
      <w:divBdr>
        <w:top w:val="none" w:sz="0" w:space="0" w:color="auto"/>
        <w:left w:val="none" w:sz="0" w:space="0" w:color="auto"/>
        <w:bottom w:val="none" w:sz="0" w:space="0" w:color="auto"/>
        <w:right w:val="none" w:sz="0" w:space="0" w:color="auto"/>
      </w:divBdr>
    </w:div>
    <w:div w:id="1114791894">
      <w:marLeft w:val="0"/>
      <w:marRight w:val="0"/>
      <w:marTop w:val="0"/>
      <w:marBottom w:val="0"/>
      <w:divBdr>
        <w:top w:val="none" w:sz="0" w:space="0" w:color="auto"/>
        <w:left w:val="none" w:sz="0" w:space="0" w:color="auto"/>
        <w:bottom w:val="none" w:sz="0" w:space="0" w:color="auto"/>
        <w:right w:val="none" w:sz="0" w:space="0" w:color="auto"/>
      </w:divBdr>
    </w:div>
    <w:div w:id="1114791895">
      <w:marLeft w:val="0"/>
      <w:marRight w:val="0"/>
      <w:marTop w:val="0"/>
      <w:marBottom w:val="0"/>
      <w:divBdr>
        <w:top w:val="none" w:sz="0" w:space="0" w:color="auto"/>
        <w:left w:val="none" w:sz="0" w:space="0" w:color="auto"/>
        <w:bottom w:val="none" w:sz="0" w:space="0" w:color="auto"/>
        <w:right w:val="none" w:sz="0" w:space="0" w:color="auto"/>
      </w:divBdr>
    </w:div>
    <w:div w:id="1114791896">
      <w:marLeft w:val="0"/>
      <w:marRight w:val="0"/>
      <w:marTop w:val="0"/>
      <w:marBottom w:val="0"/>
      <w:divBdr>
        <w:top w:val="none" w:sz="0" w:space="0" w:color="auto"/>
        <w:left w:val="none" w:sz="0" w:space="0" w:color="auto"/>
        <w:bottom w:val="none" w:sz="0" w:space="0" w:color="auto"/>
        <w:right w:val="none" w:sz="0" w:space="0" w:color="auto"/>
      </w:divBdr>
    </w:div>
    <w:div w:id="1114791897">
      <w:marLeft w:val="0"/>
      <w:marRight w:val="0"/>
      <w:marTop w:val="0"/>
      <w:marBottom w:val="0"/>
      <w:divBdr>
        <w:top w:val="none" w:sz="0" w:space="0" w:color="auto"/>
        <w:left w:val="none" w:sz="0" w:space="0" w:color="auto"/>
        <w:bottom w:val="none" w:sz="0" w:space="0" w:color="auto"/>
        <w:right w:val="none" w:sz="0" w:space="0" w:color="auto"/>
      </w:divBdr>
    </w:div>
    <w:div w:id="1114791898">
      <w:marLeft w:val="0"/>
      <w:marRight w:val="0"/>
      <w:marTop w:val="0"/>
      <w:marBottom w:val="0"/>
      <w:divBdr>
        <w:top w:val="none" w:sz="0" w:space="0" w:color="auto"/>
        <w:left w:val="none" w:sz="0" w:space="0" w:color="auto"/>
        <w:bottom w:val="none" w:sz="0" w:space="0" w:color="auto"/>
        <w:right w:val="none" w:sz="0" w:space="0" w:color="auto"/>
      </w:divBdr>
    </w:div>
    <w:div w:id="1114791899">
      <w:marLeft w:val="0"/>
      <w:marRight w:val="0"/>
      <w:marTop w:val="0"/>
      <w:marBottom w:val="0"/>
      <w:divBdr>
        <w:top w:val="none" w:sz="0" w:space="0" w:color="auto"/>
        <w:left w:val="none" w:sz="0" w:space="0" w:color="auto"/>
        <w:bottom w:val="none" w:sz="0" w:space="0" w:color="auto"/>
        <w:right w:val="none" w:sz="0" w:space="0" w:color="auto"/>
      </w:divBdr>
    </w:div>
    <w:div w:id="1114791901">
      <w:marLeft w:val="0"/>
      <w:marRight w:val="0"/>
      <w:marTop w:val="0"/>
      <w:marBottom w:val="0"/>
      <w:divBdr>
        <w:top w:val="none" w:sz="0" w:space="0" w:color="auto"/>
        <w:left w:val="none" w:sz="0" w:space="0" w:color="auto"/>
        <w:bottom w:val="none" w:sz="0" w:space="0" w:color="auto"/>
        <w:right w:val="none" w:sz="0" w:space="0" w:color="auto"/>
      </w:divBdr>
    </w:div>
    <w:div w:id="1114791902">
      <w:marLeft w:val="0"/>
      <w:marRight w:val="0"/>
      <w:marTop w:val="0"/>
      <w:marBottom w:val="0"/>
      <w:divBdr>
        <w:top w:val="none" w:sz="0" w:space="0" w:color="auto"/>
        <w:left w:val="none" w:sz="0" w:space="0" w:color="auto"/>
        <w:bottom w:val="none" w:sz="0" w:space="0" w:color="auto"/>
        <w:right w:val="none" w:sz="0" w:space="0" w:color="auto"/>
      </w:divBdr>
    </w:div>
    <w:div w:id="1114791903">
      <w:marLeft w:val="0"/>
      <w:marRight w:val="0"/>
      <w:marTop w:val="0"/>
      <w:marBottom w:val="0"/>
      <w:divBdr>
        <w:top w:val="none" w:sz="0" w:space="0" w:color="auto"/>
        <w:left w:val="none" w:sz="0" w:space="0" w:color="auto"/>
        <w:bottom w:val="none" w:sz="0" w:space="0" w:color="auto"/>
        <w:right w:val="none" w:sz="0" w:space="0" w:color="auto"/>
      </w:divBdr>
    </w:div>
    <w:div w:id="1114791905">
      <w:marLeft w:val="0"/>
      <w:marRight w:val="0"/>
      <w:marTop w:val="0"/>
      <w:marBottom w:val="0"/>
      <w:divBdr>
        <w:top w:val="none" w:sz="0" w:space="0" w:color="auto"/>
        <w:left w:val="none" w:sz="0" w:space="0" w:color="auto"/>
        <w:bottom w:val="none" w:sz="0" w:space="0" w:color="auto"/>
        <w:right w:val="none" w:sz="0" w:space="0" w:color="auto"/>
      </w:divBdr>
    </w:div>
    <w:div w:id="1114791906">
      <w:marLeft w:val="0"/>
      <w:marRight w:val="0"/>
      <w:marTop w:val="0"/>
      <w:marBottom w:val="0"/>
      <w:divBdr>
        <w:top w:val="none" w:sz="0" w:space="0" w:color="auto"/>
        <w:left w:val="none" w:sz="0" w:space="0" w:color="auto"/>
        <w:bottom w:val="none" w:sz="0" w:space="0" w:color="auto"/>
        <w:right w:val="none" w:sz="0" w:space="0" w:color="auto"/>
      </w:divBdr>
    </w:div>
    <w:div w:id="1114791907">
      <w:marLeft w:val="0"/>
      <w:marRight w:val="0"/>
      <w:marTop w:val="0"/>
      <w:marBottom w:val="0"/>
      <w:divBdr>
        <w:top w:val="none" w:sz="0" w:space="0" w:color="auto"/>
        <w:left w:val="none" w:sz="0" w:space="0" w:color="auto"/>
        <w:bottom w:val="none" w:sz="0" w:space="0" w:color="auto"/>
        <w:right w:val="none" w:sz="0" w:space="0" w:color="auto"/>
      </w:divBdr>
    </w:div>
    <w:div w:id="1114791909">
      <w:marLeft w:val="0"/>
      <w:marRight w:val="0"/>
      <w:marTop w:val="0"/>
      <w:marBottom w:val="0"/>
      <w:divBdr>
        <w:top w:val="none" w:sz="0" w:space="0" w:color="auto"/>
        <w:left w:val="none" w:sz="0" w:space="0" w:color="auto"/>
        <w:bottom w:val="none" w:sz="0" w:space="0" w:color="auto"/>
        <w:right w:val="none" w:sz="0" w:space="0" w:color="auto"/>
      </w:divBdr>
    </w:div>
    <w:div w:id="1114791910">
      <w:marLeft w:val="0"/>
      <w:marRight w:val="0"/>
      <w:marTop w:val="0"/>
      <w:marBottom w:val="0"/>
      <w:divBdr>
        <w:top w:val="none" w:sz="0" w:space="0" w:color="auto"/>
        <w:left w:val="none" w:sz="0" w:space="0" w:color="auto"/>
        <w:bottom w:val="none" w:sz="0" w:space="0" w:color="auto"/>
        <w:right w:val="none" w:sz="0" w:space="0" w:color="auto"/>
      </w:divBdr>
    </w:div>
    <w:div w:id="1114791911">
      <w:marLeft w:val="0"/>
      <w:marRight w:val="0"/>
      <w:marTop w:val="0"/>
      <w:marBottom w:val="0"/>
      <w:divBdr>
        <w:top w:val="none" w:sz="0" w:space="0" w:color="auto"/>
        <w:left w:val="none" w:sz="0" w:space="0" w:color="auto"/>
        <w:bottom w:val="none" w:sz="0" w:space="0" w:color="auto"/>
        <w:right w:val="none" w:sz="0" w:space="0" w:color="auto"/>
      </w:divBdr>
    </w:div>
    <w:div w:id="1114791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cd.coe.int/ViewDoc.jsp?id=1062769&amp;BackC" TargetMode="External"/><Relationship Id="rId18" Type="http://schemas.openxmlformats.org/officeDocument/2006/relationships/hyperlink" Target="http://fra.europa.eu/sites/default/files/fra_uploads/2099-FRA-2012-Roma-at-a-glance_EN.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ohchr.org/EN/ProfessionalInterest/Pages/CESCR.aspx" TargetMode="External"/><Relationship Id="rId7" Type="http://schemas.openxmlformats.org/officeDocument/2006/relationships/image" Target="media/image1.png"/><Relationship Id="rId12" Type="http://schemas.openxmlformats.org/officeDocument/2006/relationships/hyperlink" Target="http://tbinternet.ohchr.org/_layouts/treatybodyexternal/TBSearch.aspx?Lang=en&amp;TreatyID=9&amp;DocTypeID=11" TargetMode="External"/><Relationship Id="rId17" Type="http://schemas.openxmlformats.org/officeDocument/2006/relationships/hyperlink" Target="http://fra.europa.eu/sites/default/files/fra_uploads/1771-FRA-2011-fundamental-rights-for-irregular-migrants-healthcare_EN.pdf" TargetMode="External"/><Relationship Id="rId25" Type="http://schemas.openxmlformats.org/officeDocument/2006/relationships/hyperlink" Target="http://www.who.int/hhr/activities/q_and_a/en/Health_and_Freedom_from_Discrimination_English_699KB.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a.europa.eu/sites/default/files/fra_uploads/1827-FRA_2011_Migrants_in_an_irregular_situation_EN.pdf" TargetMode="External"/><Relationship Id="rId20" Type="http://schemas.openxmlformats.org/officeDocument/2006/relationships/hyperlink" Target="http://www.ohchr.org/EN/ProfessionalInterest/Pages/CERD.a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m-tp.org/pluginfile.php/620/mod_resource/content/1/MEM-TP_Synthesis_Report_Appendices_I-VI.pdf" TargetMode="External"/><Relationship Id="rId24" Type="http://schemas.openxmlformats.org/officeDocument/2006/relationships/hyperlink" Target="http://unesdoc.unesco.org/images/0012/001271/127162e.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gister.consilium.europa.eu/doc/srv?l=EN&amp;f=ST%2010658%202011%20INIT" TargetMode="External"/><Relationship Id="rId23" Type="http://schemas.openxmlformats.org/officeDocument/2006/relationships/hyperlink" Target="http://unesdoc.unesco.org/images/0021/002197/219768e.pdf" TargetMode="External"/><Relationship Id="rId28" Type="http://schemas.openxmlformats.org/officeDocument/2006/relationships/footer" Target="footer1.xml"/><Relationship Id="rId10" Type="http://schemas.openxmlformats.org/officeDocument/2006/relationships/hyperlink" Target="http://www.mem-tp.org/pluginfile.php/619/mod_resource/content/1/MEM-TP_Synthesis_Report.pdf" TargetMode="External"/><Relationship Id="rId19" Type="http://schemas.openxmlformats.org/officeDocument/2006/relationships/hyperlink" Target="http://www.ieneproject.eu/glossary-term.php?termID=11"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oe.int/t/dg4/intercultural/source/white%20paper_final_revised_en.pdf" TargetMode="External"/><Relationship Id="rId22" Type="http://schemas.openxmlformats.org/officeDocument/2006/relationships/hyperlink" Target="http://www2.ohchr.org/english/bodies/cmw/cmw.htm"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tbinternet.ohchr.org/_layouts/treatybodyexternal/TBSearch.aspx?Lang=en&amp;TreatyID=9&amp;DocTypeID=11" TargetMode="External"/><Relationship Id="rId3" Type="http://schemas.openxmlformats.org/officeDocument/2006/relationships/hyperlink" Target="http://unesdoc.unesco.org/images/0012/001271/127162e.pdf" TargetMode="External"/><Relationship Id="rId7" Type="http://schemas.openxmlformats.org/officeDocument/2006/relationships/hyperlink" Target="http://www.ohchr.org/EN/ProfessionalInterest/Pages/CESCR.aspx" TargetMode="External"/><Relationship Id="rId2" Type="http://schemas.openxmlformats.org/officeDocument/2006/relationships/hyperlink" Target="http://unesdoc.unesco.org/images/0021/002197/219768e.pdf" TargetMode="External"/><Relationship Id="rId1" Type="http://schemas.openxmlformats.org/officeDocument/2006/relationships/hyperlink" Target="http://www.ieneproject.eu/glossary-term.php?termID=11" TargetMode="External"/><Relationship Id="rId6" Type="http://schemas.openxmlformats.org/officeDocument/2006/relationships/hyperlink" Target="http://www.mem-tp.org/pluginfile.php/619/mod_resource/content/1/MEM-TP_Synthesis_Report.pdf" TargetMode="External"/><Relationship Id="rId11" Type="http://schemas.openxmlformats.org/officeDocument/2006/relationships/hyperlink" Target="http://register.consilium.europa.eu/doc/srv?l=EN&amp;f=ST%2010658%202011%20INIT" TargetMode="External"/><Relationship Id="rId5" Type="http://schemas.openxmlformats.org/officeDocument/2006/relationships/hyperlink" Target="https://wcd.coe.int/ViewDoc.jsp?id=1062769&amp;BackC" TargetMode="External"/><Relationship Id="rId10" Type="http://schemas.openxmlformats.org/officeDocument/2006/relationships/hyperlink" Target="http://www.ohchr.org/EN/ProfessionalInterest/Pages/CERD.aspx" TargetMode="External"/><Relationship Id="rId4" Type="http://schemas.openxmlformats.org/officeDocument/2006/relationships/hyperlink" Target="http://www.who.int/hhr/activities/q_and_a/en/Health_and_Freedom_from_Discrimination_English_699KB.pdf" TargetMode="External"/><Relationship Id="rId9" Type="http://schemas.openxmlformats.org/officeDocument/2006/relationships/hyperlink" Target="http://www2.ohchr.org/english/bodies/cmw/cm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4132</Words>
  <Characters>22726</Characters>
  <Application>Microsoft Office Word</Application>
  <DocSecurity>0</DocSecurity>
  <Lines>189</Lines>
  <Paragraphs>53</Paragraphs>
  <ScaleCrop>false</ScaleCrop>
  <Company>EASP</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acanton</dc:creator>
  <cp:keywords/>
  <dc:description/>
  <cp:lastModifiedBy>Amets Suess</cp:lastModifiedBy>
  <cp:revision>6</cp:revision>
  <dcterms:created xsi:type="dcterms:W3CDTF">2016-04-19T08:14:00Z</dcterms:created>
  <dcterms:modified xsi:type="dcterms:W3CDTF">2017-02-21T10:59:00Z</dcterms:modified>
</cp:coreProperties>
</file>