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F9" w:rsidRDefault="000F52F9">
      <w:r>
        <w:rPr>
          <w:noProof/>
        </w:rPr>
        <w:pict>
          <v:shapetype id="_x0000_t202" coordsize="21600,21600" o:spt="202" path="m,l,21600r21600,l21600,xe">
            <v:stroke joinstyle="miter"/>
            <v:path gradientshapeok="t" o:connecttype="rect"/>
          </v:shapetype>
          <v:shape id="_x0000_s1028" type="#_x0000_t202" style="position:absolute;margin-left:22.95pt;margin-top:131.35pt;width:386.15pt;height:379.35pt;z-index:251657728;mso-position-vertical-relative:margin" filled="f" stroked="f">
            <v:textbox style="mso-next-textbox:#_x0000_s1028">
              <w:txbxContent>
                <w:p w:rsidR="000F52F9" w:rsidRPr="006A23BD" w:rsidRDefault="000F52F9" w:rsidP="007F29F4">
                  <w:pPr>
                    <w:jc w:val="center"/>
                    <w:rPr>
                      <w:rFonts w:ascii="EC Square Sans Pro Medium" w:hAnsi="EC Square Sans Pro Medium"/>
                      <w:color w:val="263673"/>
                      <w:sz w:val="24"/>
                    </w:rPr>
                  </w:pPr>
                  <w:r w:rsidRPr="006A23BD">
                    <w:rPr>
                      <w:rFonts w:ascii="EC Square Sans Pro Medium" w:hAnsi="EC Square Sans Pro Medium"/>
                      <w:color w:val="263673"/>
                      <w:sz w:val="24"/>
                    </w:rPr>
                    <w:t xml:space="preserve">Training packages for health professionals to improve access and quality of health services for migrants and ethnic minorities, including the Roma </w:t>
                  </w:r>
                </w:p>
                <w:p w:rsidR="000F52F9" w:rsidRPr="006A23BD" w:rsidRDefault="000F52F9" w:rsidP="007F29F4">
                  <w:pPr>
                    <w:jc w:val="center"/>
                    <w:rPr>
                      <w:rFonts w:ascii="EC Square Sans Pro Medium" w:hAnsi="EC Square Sans Pro Medium"/>
                      <w:color w:val="263673"/>
                      <w:sz w:val="24"/>
                    </w:rPr>
                  </w:pPr>
                  <w:r w:rsidRPr="006A23BD">
                    <w:rPr>
                      <w:rFonts w:ascii="EC Square Sans Pro Medium" w:hAnsi="EC Square Sans Pro Medium"/>
                      <w:color w:val="263673"/>
                      <w:sz w:val="24"/>
                    </w:rPr>
                    <w:t>MEM-TP</w:t>
                  </w:r>
                </w:p>
                <w:p w:rsidR="000F52F9" w:rsidRDefault="000F52F9" w:rsidP="007F29F4">
                  <w:pPr>
                    <w:jc w:val="center"/>
                    <w:rPr>
                      <w:b/>
                      <w:i/>
                      <w:color w:val="263673"/>
                      <w:sz w:val="36"/>
                      <w:szCs w:val="36"/>
                      <w:lang w:val="en-GB"/>
                    </w:rPr>
                  </w:pPr>
                </w:p>
                <w:p w:rsidR="000F52F9" w:rsidRPr="00E03336" w:rsidRDefault="000F52F9"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MODULE 4 Knowledge Application</w:t>
                  </w:r>
                </w:p>
                <w:p w:rsidR="000F52F9" w:rsidRPr="00E03336" w:rsidRDefault="000F52F9"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UNIT 4: Quality of health care taking diversity into account</w:t>
                  </w:r>
                </w:p>
                <w:p w:rsidR="000F52F9" w:rsidRPr="00E03336" w:rsidRDefault="000F52F9"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Guidelines</w:t>
                  </w:r>
                </w:p>
                <w:p w:rsidR="000F52F9" w:rsidRDefault="000F52F9" w:rsidP="007F29F4">
                  <w:pPr>
                    <w:jc w:val="center"/>
                    <w:rPr>
                      <w:b/>
                      <w:i/>
                      <w:color w:val="263673"/>
                      <w:sz w:val="36"/>
                      <w:szCs w:val="36"/>
                      <w:lang w:val="en-GB"/>
                    </w:rPr>
                  </w:pPr>
                </w:p>
                <w:p w:rsidR="000F52F9" w:rsidRPr="002256F1" w:rsidRDefault="000F52F9" w:rsidP="007F29F4">
                  <w:pPr>
                    <w:jc w:val="center"/>
                    <w:rPr>
                      <w:rFonts w:ascii="EC Square Sans Pro Medium" w:hAnsi="EC Square Sans Pro Medium"/>
                      <w:i/>
                      <w:color w:val="263673"/>
                      <w:sz w:val="24"/>
                    </w:rPr>
                  </w:pPr>
                  <w:r>
                    <w:rPr>
                      <w:rFonts w:ascii="EC Square Sans Pro Medium" w:hAnsi="EC Square Sans Pro Medium"/>
                      <w:i/>
                      <w:color w:val="263673"/>
                      <w:sz w:val="24"/>
                    </w:rPr>
                    <w:t>Prepared by:</w:t>
                  </w:r>
                </w:p>
                <w:p w:rsidR="000F52F9" w:rsidRDefault="000F52F9" w:rsidP="007F29F4">
                  <w:pPr>
                    <w:jc w:val="center"/>
                    <w:rPr>
                      <w:rFonts w:ascii="EC Square Sans Pro Medium" w:hAnsi="EC Square Sans Pro Medium"/>
                      <w:i/>
                      <w:color w:val="263673"/>
                      <w:sz w:val="24"/>
                    </w:rPr>
                  </w:pPr>
                  <w:r w:rsidRPr="007F29F4">
                    <w:rPr>
                      <w:rFonts w:ascii="EC Square Sans Pro Medium" w:hAnsi="EC Square Sans Pro Medium"/>
                      <w:i/>
                      <w:color w:val="263673"/>
                      <w:sz w:val="24"/>
                    </w:rPr>
                    <w:t xml:space="preserve">Amets Suess </w:t>
                  </w:r>
                </w:p>
                <w:p w:rsidR="000F52F9" w:rsidRPr="002256F1" w:rsidRDefault="000F52F9" w:rsidP="007F29F4">
                  <w:pPr>
                    <w:jc w:val="center"/>
                    <w:rPr>
                      <w:rFonts w:ascii="EC Square Sans Pro Medium" w:hAnsi="EC Square Sans Pro Medium"/>
                      <w:i/>
                      <w:color w:val="263673"/>
                      <w:sz w:val="24"/>
                    </w:rPr>
                  </w:pPr>
                  <w:r>
                    <w:rPr>
                      <w:rFonts w:ascii="EC Square Sans Pro Medium" w:hAnsi="EC Square Sans Pro Medium"/>
                      <w:i/>
                      <w:color w:val="263673"/>
                      <w:sz w:val="24"/>
                    </w:rPr>
                    <w:t>Andalusian School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251656704;visibility:visible;mso-position-vertical:center;mso-position-vertical-relative:margin">
            <v:imagedata r:id="rId7" o:title=""/>
            <w10:wrap type="square" anchory="margin"/>
          </v:shape>
        </w:pict>
      </w: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Default="000F52F9" w:rsidP="007F29F4">
      <w:pPr>
        <w:spacing w:line="360" w:lineRule="auto"/>
        <w:jc w:val="both"/>
        <w:rPr>
          <w:lang w:val="en-GB"/>
        </w:rPr>
      </w:pPr>
    </w:p>
    <w:p w:rsidR="000F52F9" w:rsidRPr="004309D0" w:rsidRDefault="000F52F9" w:rsidP="007F29F4">
      <w:pPr>
        <w:spacing w:line="360" w:lineRule="auto"/>
        <w:jc w:val="both"/>
        <w:rPr>
          <w:lang w:val="en-GB"/>
        </w:rPr>
      </w:pPr>
    </w:p>
    <w:p w:rsidR="000F52F9" w:rsidRPr="004309D0" w:rsidRDefault="000F52F9" w:rsidP="007F29F4">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 European Union, 2015</w:t>
      </w:r>
    </w:p>
    <w:p w:rsidR="000F52F9" w:rsidRPr="004309D0" w:rsidRDefault="000F52F9" w:rsidP="007F29F4">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For any reproduction of textual and multimedia information which are not under the © of the European Union, permission must be sought directly from the copyright holders.</w:t>
      </w:r>
    </w:p>
    <w:p w:rsidR="000F52F9" w:rsidRDefault="000F52F9" w:rsidP="007F29F4">
      <w:pPr>
        <w:rPr>
          <w:rFonts w:ascii="EC Square Sans Pro Medium" w:hAnsi="EC Square Sans Pro Medium"/>
          <w:color w:val="263673"/>
          <w:sz w:val="20"/>
          <w:szCs w:val="20"/>
        </w:rPr>
      </w:pPr>
    </w:p>
    <w:p w:rsidR="000F52F9" w:rsidRPr="00233395" w:rsidRDefault="000F52F9" w:rsidP="007F29F4">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233395">
        <w:rPr>
          <w:rFonts w:ascii="EC Square Sans Pro Medium" w:hAnsi="EC Square Sans Pro Medium"/>
          <w:color w:val="263673"/>
          <w:sz w:val="20"/>
          <w:szCs w:val="20"/>
        </w:rPr>
        <w:t>Junta de Andalucía.</w:t>
      </w:r>
    </w:p>
    <w:p w:rsidR="000F52F9" w:rsidRPr="00233395" w:rsidRDefault="000F52F9" w:rsidP="007F29F4">
      <w:pPr>
        <w:rPr>
          <w:rFonts w:ascii="EC Square Sans Pro Medium" w:hAnsi="EC Square Sans Pro Medium"/>
          <w:color w:val="263673"/>
          <w:sz w:val="20"/>
          <w:szCs w:val="20"/>
        </w:rPr>
      </w:pPr>
    </w:p>
    <w:p w:rsidR="000F52F9" w:rsidRDefault="000F52F9" w:rsidP="007F29F4">
      <w:pPr>
        <w:spacing w:line="360" w:lineRule="auto"/>
        <w:jc w:val="both"/>
      </w:pPr>
    </w:p>
    <w:p w:rsidR="000F52F9" w:rsidRDefault="000F52F9" w:rsidP="007F29F4">
      <w:pPr>
        <w:spacing w:line="360" w:lineRule="auto"/>
        <w:jc w:val="both"/>
      </w:pPr>
    </w:p>
    <w:p w:rsidR="000F52F9" w:rsidRPr="00233395" w:rsidRDefault="000F52F9" w:rsidP="007F29F4">
      <w:pPr>
        <w:spacing w:line="360" w:lineRule="auto"/>
        <w:jc w:val="both"/>
      </w:pPr>
    </w:p>
    <w:p w:rsidR="000F52F9" w:rsidRPr="00233395" w:rsidRDefault="000F52F9" w:rsidP="007F29F4">
      <w:pPr>
        <w:spacing w:line="360" w:lineRule="auto"/>
        <w:jc w:val="both"/>
      </w:pPr>
    </w:p>
    <w:p w:rsidR="000F52F9" w:rsidRPr="00233395" w:rsidRDefault="000F52F9" w:rsidP="007F29F4">
      <w:pPr>
        <w:spacing w:line="360" w:lineRule="auto"/>
        <w:jc w:val="both"/>
      </w:pPr>
      <w:r>
        <w:rPr>
          <w:noProof/>
        </w:rPr>
        <w:pict>
          <v:group id="Lienzo 9" o:spid="_x0000_s1030" editas="canvas" style="position:absolute;left:0;text-align:left;margin-left:.3pt;margin-top:5pt;width:419.2pt;height:64.5pt;z-index:-251657728;mso-position-horizontal-relative:margin" coordsize="5323840,819150"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40;height:819150;visibility:visible">
              <v:fill o:detectmouseclick="t"/>
              <v:path o:connecttype="none"/>
            </v:shape>
            <v:group id="Grupo 1" o:spid="_x0000_s1032" style="position:absolute;width:5323840;height:690990" coordsize="5323840,6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58;top:377759;width:355584;height:2388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82;height:276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0F52F9" w:rsidRPr="00516EAF" w:rsidRDefault="000F52F9" w:rsidP="007F29F4">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32;width:3957908;height:690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0F52F9" w:rsidRPr="00233395" w:rsidRDefault="000F52F9" w:rsidP="007F29F4">
      <w:pPr>
        <w:spacing w:line="360" w:lineRule="auto"/>
        <w:jc w:val="both"/>
      </w:pPr>
    </w:p>
    <w:p w:rsidR="000F52F9" w:rsidRPr="00233395" w:rsidRDefault="000F52F9" w:rsidP="007F29F4">
      <w:pPr>
        <w:jc w:val="both"/>
        <w:rPr>
          <w:rFonts w:ascii="Calibri Light" w:hAnsi="Calibri Light"/>
        </w:rPr>
      </w:pPr>
    </w:p>
    <w:p w:rsidR="000F52F9" w:rsidRPr="00233395" w:rsidRDefault="000F52F9" w:rsidP="007F29F4">
      <w:pPr>
        <w:rPr>
          <w:rFonts w:ascii="EC Square Sans Pro Medium" w:hAnsi="EC Square Sans Pro Medium"/>
          <w:color w:val="263673"/>
          <w:sz w:val="20"/>
          <w:szCs w:val="20"/>
        </w:rPr>
      </w:pPr>
    </w:p>
    <w:p w:rsidR="000F52F9" w:rsidRDefault="000F52F9" w:rsidP="007F29F4">
      <w:pPr>
        <w:jc w:val="both"/>
        <w:rPr>
          <w:rFonts w:ascii="EC Square Sans Pro Medium" w:hAnsi="EC Square Sans Pro Medium"/>
          <w:color w:val="263673"/>
          <w:sz w:val="20"/>
          <w:szCs w:val="20"/>
        </w:rPr>
      </w:pPr>
    </w:p>
    <w:p w:rsidR="000F52F9" w:rsidRDefault="000F52F9" w:rsidP="007F29F4">
      <w:pPr>
        <w:jc w:val="both"/>
        <w:rPr>
          <w:rFonts w:ascii="EC Square Sans Pro Medium" w:hAnsi="EC Square Sans Pro Medium"/>
          <w:color w:val="263673"/>
          <w:sz w:val="20"/>
          <w:szCs w:val="20"/>
        </w:rPr>
      </w:pPr>
    </w:p>
    <w:p w:rsidR="000F52F9" w:rsidRDefault="000F52F9" w:rsidP="007F29F4">
      <w:pPr>
        <w:jc w:val="both"/>
        <w:rPr>
          <w:rFonts w:ascii="EC Square Sans Pro Medium" w:hAnsi="EC Square Sans Pro Medium"/>
          <w:color w:val="263673"/>
          <w:sz w:val="20"/>
          <w:szCs w:val="20"/>
        </w:rPr>
      </w:pPr>
    </w:p>
    <w:p w:rsidR="000F52F9" w:rsidRPr="004309D0" w:rsidRDefault="000F52F9" w:rsidP="007F29F4">
      <w:pPr>
        <w:jc w:val="both"/>
        <w:rPr>
          <w:rFonts w:ascii="EC Square Sans Pro Medium" w:hAnsi="EC Square Sans Pro Medium"/>
          <w:color w:val="263673"/>
          <w:sz w:val="20"/>
          <w:szCs w:val="20"/>
        </w:rPr>
      </w:pPr>
      <w:r w:rsidRPr="00D34977">
        <w:rPr>
          <w:rFonts w:ascii="EC Square Sans Pro Medium" w:hAnsi="EC Square Sans Pro Medium"/>
          <w:color w:val="263673"/>
          <w:sz w:val="20"/>
          <w:szCs w:val="20"/>
        </w:rPr>
        <w:t>Funded by the European Union in the frame</w:t>
      </w:r>
      <w:r>
        <w:rPr>
          <w:rFonts w:ascii="EC Square Sans Pro Medium" w:hAnsi="EC Square Sans Pro Medium"/>
          <w:color w:val="263673"/>
          <w:sz w:val="20"/>
          <w:szCs w:val="20"/>
        </w:rPr>
        <w:t>work</w:t>
      </w:r>
      <w:r w:rsidRPr="00D34977">
        <w:rPr>
          <w:rFonts w:ascii="EC Square Sans Pro Medium" w:hAnsi="EC Square Sans Pro Medium"/>
          <w:color w:val="263673"/>
          <w:sz w:val="20"/>
          <w:szCs w:val="20"/>
        </w:rPr>
        <w:t xml:space="preserve">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D34977">
        <w:rPr>
          <w:rFonts w:ascii="EC Square Sans Pro Medium" w:hAnsi="EC Square Sans Pro Medium"/>
          <w:color w:val="263673"/>
          <w:sz w:val="20"/>
          <w:szCs w:val="20"/>
        </w:rPr>
        <w:t>Chafea</w:t>
      </w:r>
      <w:r>
        <w:rPr>
          <w:rFonts w:ascii="EC Square Sans Pro Medium" w:hAnsi="EC Square Sans Pro Medium"/>
          <w:color w:val="263673"/>
          <w:sz w:val="20"/>
          <w:szCs w:val="20"/>
        </w:rPr>
        <w:t>)</w:t>
      </w:r>
      <w:r w:rsidRPr="00D34977">
        <w:rPr>
          <w:rFonts w:ascii="EC Square Sans Pro Medium" w:hAnsi="EC Square Sans Pro Medium"/>
          <w:color w:val="263673"/>
          <w:sz w:val="20"/>
          <w:szCs w:val="20"/>
        </w:rPr>
        <w:t xml:space="preserve"> acting under the mandate from the European Commission. </w:t>
      </w:r>
      <w:r w:rsidRPr="00D725D6">
        <w:rPr>
          <w:rFonts w:ascii="EC Square Sans Pro Medium" w:hAnsi="EC Square Sans Pro Medium"/>
          <w:color w:val="263673"/>
          <w:sz w:val="20"/>
          <w:szCs w:val="20"/>
        </w:rPr>
        <w:t xml:space="preserve">The content of this report represents the views of the </w:t>
      </w:r>
      <w:smartTag w:uri="urn:schemas-microsoft-com:office:smarttags" w:element="place">
        <w:smartTag w:uri="urn:schemas-microsoft-com:office:smarttags" w:element="PlaceName">
          <w:r w:rsidRPr="00D725D6">
            <w:rPr>
              <w:rFonts w:ascii="EC Square Sans Pro Medium" w:hAnsi="EC Square Sans Pro Medium"/>
              <w:color w:val="263673"/>
              <w:sz w:val="20"/>
              <w:szCs w:val="20"/>
            </w:rPr>
            <w:t>A</w:t>
          </w:r>
          <w:r>
            <w:rPr>
              <w:rFonts w:ascii="EC Square Sans Pro Medium" w:hAnsi="EC Square Sans Pro Medium"/>
              <w:color w:val="263673"/>
              <w:sz w:val="20"/>
              <w:szCs w:val="20"/>
            </w:rPr>
            <w:t>ndalusian</w:t>
          </w:r>
        </w:smartTag>
        <w:r>
          <w:rPr>
            <w:rFonts w:ascii="EC Square Sans Pro Medium" w:hAnsi="EC Square Sans Pro Medium"/>
            <w:color w:val="263673"/>
            <w:sz w:val="20"/>
            <w:szCs w:val="20"/>
          </w:rPr>
          <w:t xml:space="preserve"> </w:t>
        </w:r>
        <w:smartTag w:uri="urn:schemas-microsoft-com:office:smarttags" w:element="PlaceType">
          <w:r>
            <w:rPr>
              <w:rFonts w:ascii="EC Square Sans Pro Medium" w:hAnsi="EC Square Sans Pro Medium"/>
              <w:color w:val="263673"/>
              <w:sz w:val="20"/>
              <w:szCs w:val="20"/>
            </w:rPr>
            <w:t>School</w:t>
          </w:r>
        </w:smartTag>
      </w:smartTag>
      <w:r>
        <w:rPr>
          <w:rFonts w:ascii="EC Square Sans Pro Medium" w:hAnsi="EC Square Sans Pro Medium"/>
          <w:color w:val="263673"/>
          <w:sz w:val="20"/>
          <w:szCs w:val="20"/>
        </w:rPr>
        <w:t xml:space="preserve"> of Public Health (EASP)</w:t>
      </w:r>
      <w:r w:rsidRPr="00D725D6">
        <w:rPr>
          <w:rFonts w:ascii="EC Square Sans Pro Medium" w:hAnsi="EC Square Sans Pro Medium"/>
          <w:color w:val="263673"/>
          <w:sz w:val="20"/>
          <w:szCs w:val="20"/>
        </w:rPr>
        <w:t xml:space="preserve"> and is its sole responsibility; it can in no way be taken to reflect the views of the European Commission and/or Chafea or any other body in the European Union. </w:t>
      </w:r>
      <w:r w:rsidRPr="004309D0">
        <w:rPr>
          <w:rFonts w:ascii="EC Square Sans Pro Medium" w:hAnsi="EC Square Sans Pro Medium"/>
          <w:color w:val="263673"/>
          <w:sz w:val="20"/>
          <w:szCs w:val="20"/>
        </w:rPr>
        <w:t>The European Commission and/or Chafea do not guarantee the accuracy of the data included in this report, nor do they accept responsibility for any use made by third parties thereof.</w:t>
      </w:r>
    </w:p>
    <w:p w:rsidR="000F52F9" w:rsidRDefault="000F52F9" w:rsidP="00CC71B9">
      <w:pPr>
        <w:jc w:val="both"/>
        <w:rPr>
          <w:lang w:val="en-GB"/>
        </w:rPr>
      </w:pPr>
      <w:r>
        <w:rPr>
          <w:lang w:val="en-GB"/>
        </w:rPr>
        <w:br w:type="page"/>
      </w:r>
    </w:p>
    <w:p w:rsidR="000F52F9" w:rsidRPr="00E03336" w:rsidRDefault="000F52F9" w:rsidP="00564C9C">
      <w:pPr>
        <w:jc w:val="center"/>
        <w:rPr>
          <w:rFonts w:ascii="Verdana" w:hAnsi="Verdana"/>
          <w:b/>
          <w:bCs/>
          <w:color w:val="000080"/>
          <w:sz w:val="28"/>
          <w:szCs w:val="28"/>
          <w:lang w:val="en-US"/>
        </w:rPr>
      </w:pPr>
      <w:r w:rsidRPr="00E03336">
        <w:rPr>
          <w:rFonts w:ascii="Verdana" w:hAnsi="Verdana"/>
          <w:b/>
          <w:bCs/>
          <w:color w:val="000080"/>
          <w:sz w:val="28"/>
          <w:szCs w:val="28"/>
          <w:lang w:val="en-US"/>
        </w:rPr>
        <w:t>Module 4, Knowledge Application</w:t>
      </w:r>
    </w:p>
    <w:p w:rsidR="000F52F9" w:rsidRPr="00E03336" w:rsidRDefault="000F52F9" w:rsidP="0001742A">
      <w:pPr>
        <w:jc w:val="center"/>
        <w:rPr>
          <w:rFonts w:ascii="Verdana" w:hAnsi="Verdana"/>
          <w:b/>
          <w:bCs/>
          <w:color w:val="000080"/>
          <w:sz w:val="24"/>
          <w:szCs w:val="28"/>
          <w:lang w:val="en-US"/>
        </w:rPr>
      </w:pPr>
      <w:r w:rsidRPr="00E03336">
        <w:rPr>
          <w:rFonts w:ascii="Verdana" w:hAnsi="Verdana"/>
          <w:b/>
          <w:bCs/>
          <w:color w:val="000080"/>
          <w:sz w:val="28"/>
          <w:szCs w:val="28"/>
          <w:lang w:val="en-US"/>
        </w:rPr>
        <w:t>Unit 4</w:t>
      </w:r>
      <w:r w:rsidRPr="00E03336">
        <w:rPr>
          <w:rFonts w:ascii="Verdana" w:hAnsi="Verdana"/>
          <w:b/>
          <w:bCs/>
          <w:color w:val="000080"/>
          <w:sz w:val="24"/>
          <w:szCs w:val="28"/>
          <w:lang w:val="en-US"/>
        </w:rPr>
        <w:t xml:space="preserve">: </w:t>
      </w:r>
      <w:r w:rsidRPr="00E03336">
        <w:rPr>
          <w:rFonts w:ascii="Verdana" w:hAnsi="Verdana"/>
          <w:b/>
          <w:bCs/>
          <w:color w:val="000080"/>
          <w:sz w:val="28"/>
          <w:szCs w:val="28"/>
          <w:lang w:val="en-US"/>
        </w:rPr>
        <w:t>Quality of health care taking diversity into account</w:t>
      </w:r>
    </w:p>
    <w:p w:rsidR="000F52F9" w:rsidRPr="00E03336" w:rsidRDefault="000F52F9" w:rsidP="00564C9C">
      <w:pPr>
        <w:jc w:val="center"/>
        <w:rPr>
          <w:rFonts w:ascii="Verdana" w:hAnsi="Verdana"/>
          <w:b/>
          <w:bCs/>
          <w:color w:val="000080"/>
          <w:sz w:val="28"/>
          <w:szCs w:val="28"/>
          <w:lang w:val="en-US"/>
        </w:rPr>
      </w:pPr>
    </w:p>
    <w:p w:rsidR="000F52F9" w:rsidRPr="00E03336" w:rsidRDefault="000F52F9" w:rsidP="00D06722">
      <w:pPr>
        <w:jc w:val="both"/>
        <w:rPr>
          <w:rFonts w:ascii="Verdana" w:hAnsi="Verdana"/>
          <w:lang w:val="en-GB"/>
        </w:rPr>
      </w:pPr>
    </w:p>
    <w:p w:rsidR="000F52F9" w:rsidRPr="00E03336" w:rsidRDefault="000F52F9" w:rsidP="00564C9C">
      <w:pPr>
        <w:numPr>
          <w:ilvl w:val="0"/>
          <w:numId w:val="12"/>
        </w:numPr>
        <w:rPr>
          <w:rFonts w:ascii="Verdana" w:hAnsi="Verdana"/>
          <w:b/>
          <w:color w:val="000080"/>
          <w:sz w:val="28"/>
          <w:lang w:val="en-GB"/>
        </w:rPr>
      </w:pPr>
      <w:r w:rsidRPr="00E03336">
        <w:rPr>
          <w:rFonts w:ascii="Verdana" w:hAnsi="Verdana"/>
          <w:b/>
          <w:color w:val="000080"/>
          <w:sz w:val="28"/>
          <w:lang w:val="en-GB"/>
        </w:rPr>
        <w:t>Objectives and Methods</w:t>
      </w:r>
    </w:p>
    <w:p w:rsidR="000F52F9" w:rsidRPr="00E03336" w:rsidRDefault="000F52F9" w:rsidP="00910E11">
      <w:pPr>
        <w:rPr>
          <w:rFonts w:ascii="Verdana" w:hAnsi="Verdana"/>
          <w:b/>
          <w:color w:val="000080"/>
          <w:sz w:val="28"/>
          <w:lang w:val="en-GB"/>
        </w:rPr>
      </w:pPr>
    </w:p>
    <w:p w:rsidR="000F52F9" w:rsidRPr="00E03336" w:rsidRDefault="000F52F9" w:rsidP="00F37275">
      <w:pPr>
        <w:pStyle w:val="ListParagraph"/>
        <w:numPr>
          <w:ilvl w:val="1"/>
          <w:numId w:val="12"/>
        </w:numPr>
        <w:jc w:val="both"/>
        <w:rPr>
          <w:rFonts w:ascii="Verdana" w:hAnsi="Verdana"/>
          <w:b/>
          <w:bCs/>
          <w:color w:val="000080"/>
          <w:sz w:val="24"/>
          <w:szCs w:val="28"/>
          <w:lang w:val="en-GB"/>
        </w:rPr>
      </w:pPr>
      <w:r w:rsidRPr="00E03336">
        <w:rPr>
          <w:rFonts w:ascii="Verdana" w:hAnsi="Verdana"/>
          <w:b/>
          <w:bCs/>
          <w:color w:val="000080"/>
          <w:sz w:val="24"/>
          <w:szCs w:val="28"/>
          <w:lang w:val="en-GB"/>
        </w:rPr>
        <w:t>Objectives</w:t>
      </w:r>
    </w:p>
    <w:p w:rsidR="000F52F9" w:rsidRPr="00E03336" w:rsidRDefault="000F52F9" w:rsidP="00A04CB0">
      <w:pPr>
        <w:jc w:val="both"/>
        <w:rPr>
          <w:rFonts w:ascii="Verdana" w:hAnsi="Verdana"/>
          <w:b/>
          <w:bCs/>
          <w:sz w:val="24"/>
          <w:szCs w:val="28"/>
          <w:lang w:val="en-GB"/>
        </w:rPr>
      </w:pPr>
    </w:p>
    <w:p w:rsidR="000F52F9" w:rsidRPr="00E03336" w:rsidRDefault="000F52F9" w:rsidP="00A04CB0">
      <w:pPr>
        <w:jc w:val="both"/>
        <w:rPr>
          <w:rFonts w:ascii="Verdana" w:hAnsi="Verdana"/>
          <w:b/>
          <w:bCs/>
          <w:szCs w:val="28"/>
          <w:lang w:val="en-GB"/>
        </w:rPr>
      </w:pPr>
      <w:r w:rsidRPr="00E03336">
        <w:rPr>
          <w:rFonts w:ascii="Verdana" w:hAnsi="Verdana"/>
          <w:b/>
          <w:bCs/>
          <w:szCs w:val="28"/>
          <w:lang w:val="en-GB"/>
        </w:rPr>
        <w:t>Objectives of the Presentation</w:t>
      </w:r>
    </w:p>
    <w:p w:rsidR="000F52F9" w:rsidRPr="00E03336" w:rsidRDefault="000F52F9" w:rsidP="00A04CB0">
      <w:pPr>
        <w:numPr>
          <w:ilvl w:val="0"/>
          <w:numId w:val="45"/>
        </w:numPr>
        <w:jc w:val="both"/>
        <w:rPr>
          <w:rFonts w:ascii="Verdana" w:hAnsi="Verdana"/>
          <w:b/>
          <w:bCs/>
          <w:szCs w:val="28"/>
          <w:lang w:val="en-GB"/>
        </w:rPr>
      </w:pPr>
      <w:r w:rsidRPr="00E03336">
        <w:rPr>
          <w:rFonts w:ascii="Verdana" w:hAnsi="Verdana"/>
          <w:bCs/>
          <w:szCs w:val="22"/>
          <w:lang w:val="en-GB"/>
        </w:rPr>
        <w:t>To present relevant aspects of quality oriented towards cultural and ethnic diversity, assessment methodologies and strategies.</w:t>
      </w:r>
    </w:p>
    <w:p w:rsidR="000F52F9" w:rsidRPr="00E03336" w:rsidRDefault="000F52F9" w:rsidP="00A04CB0">
      <w:pPr>
        <w:jc w:val="both"/>
        <w:rPr>
          <w:rFonts w:ascii="Verdana" w:hAnsi="Verdana"/>
          <w:b/>
          <w:bCs/>
          <w:szCs w:val="28"/>
          <w:lang w:val="en-GB"/>
        </w:rPr>
      </w:pPr>
    </w:p>
    <w:p w:rsidR="000F52F9" w:rsidRPr="00E03336" w:rsidRDefault="000F52F9" w:rsidP="00A04CB0">
      <w:pPr>
        <w:jc w:val="both"/>
        <w:rPr>
          <w:rFonts w:ascii="Verdana" w:hAnsi="Verdana"/>
          <w:b/>
          <w:bCs/>
          <w:szCs w:val="28"/>
          <w:lang w:val="en-GB"/>
        </w:rPr>
      </w:pPr>
      <w:r w:rsidRPr="00E03336">
        <w:rPr>
          <w:rFonts w:ascii="Verdana" w:hAnsi="Verdana"/>
          <w:b/>
          <w:bCs/>
          <w:szCs w:val="28"/>
          <w:lang w:val="en-GB"/>
        </w:rPr>
        <w:t>Objectives of the Activities</w:t>
      </w:r>
    </w:p>
    <w:p w:rsidR="000F52F9" w:rsidRPr="00E03336" w:rsidRDefault="000F52F9" w:rsidP="00A04CB0">
      <w:pPr>
        <w:numPr>
          <w:ilvl w:val="0"/>
          <w:numId w:val="45"/>
        </w:numPr>
        <w:jc w:val="both"/>
        <w:rPr>
          <w:rFonts w:ascii="Verdana" w:hAnsi="Verdana"/>
          <w:b/>
          <w:bCs/>
          <w:szCs w:val="28"/>
          <w:lang w:val="en-GB"/>
        </w:rPr>
      </w:pPr>
      <w:r w:rsidRPr="00E03336">
        <w:rPr>
          <w:rFonts w:ascii="Verdana" w:hAnsi="Verdana"/>
          <w:bCs/>
          <w:szCs w:val="22"/>
          <w:lang w:val="en-GB"/>
        </w:rPr>
        <w:t>To open a discussion on experiences, opportunities and limitations of assessment methods for quality of health care oriented to cultural and ethnic diversity.</w:t>
      </w:r>
    </w:p>
    <w:p w:rsidR="000F52F9" w:rsidRPr="00E03336" w:rsidRDefault="000F52F9" w:rsidP="00A04CB0">
      <w:pPr>
        <w:jc w:val="both"/>
        <w:rPr>
          <w:rFonts w:ascii="Verdana" w:hAnsi="Verdana"/>
          <w:b/>
          <w:bCs/>
          <w:szCs w:val="28"/>
          <w:lang w:val="en-US"/>
        </w:rPr>
      </w:pPr>
    </w:p>
    <w:p w:rsidR="000F52F9" w:rsidRPr="00E03336" w:rsidRDefault="000F52F9" w:rsidP="00F37275">
      <w:pPr>
        <w:numPr>
          <w:ilvl w:val="1"/>
          <w:numId w:val="12"/>
        </w:numPr>
        <w:jc w:val="both"/>
        <w:rPr>
          <w:rFonts w:ascii="Verdana" w:hAnsi="Verdana"/>
          <w:b/>
          <w:bCs/>
          <w:color w:val="000080"/>
          <w:sz w:val="24"/>
          <w:szCs w:val="28"/>
          <w:lang w:val="en-GB"/>
        </w:rPr>
      </w:pPr>
      <w:r w:rsidRPr="00E03336">
        <w:rPr>
          <w:rFonts w:ascii="Verdana" w:hAnsi="Verdana"/>
          <w:b/>
          <w:bCs/>
          <w:color w:val="000080"/>
          <w:sz w:val="24"/>
          <w:szCs w:val="28"/>
          <w:lang w:val="en-GB"/>
        </w:rPr>
        <w:t>Methods</w:t>
      </w:r>
    </w:p>
    <w:p w:rsidR="000F52F9" w:rsidRPr="00E03336" w:rsidRDefault="000F52F9" w:rsidP="00910E11">
      <w:pPr>
        <w:rPr>
          <w:rFonts w:ascii="Verdana" w:hAnsi="Verdana"/>
          <w:b/>
          <w:color w:val="000080"/>
          <w:sz w:val="28"/>
          <w:lang w:val="en-GB"/>
        </w:rPr>
      </w:pPr>
    </w:p>
    <w:p w:rsidR="000F52F9" w:rsidRPr="00E03336" w:rsidRDefault="000F52F9" w:rsidP="00910E11">
      <w:pPr>
        <w:jc w:val="both"/>
        <w:rPr>
          <w:rFonts w:ascii="Verdana" w:hAnsi="Verdana"/>
          <w:i/>
          <w:color w:val="008080"/>
          <w:szCs w:val="22"/>
          <w:lang w:val="en-GB"/>
        </w:rPr>
      </w:pPr>
      <w:r w:rsidRPr="00E03336">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0F52F9" w:rsidRPr="00E03336" w:rsidRDefault="000F52F9" w:rsidP="00910E11">
      <w:pPr>
        <w:jc w:val="both"/>
        <w:rPr>
          <w:rFonts w:ascii="Verdana" w:hAnsi="Verdana"/>
          <w:i/>
          <w:color w:val="008080"/>
          <w:szCs w:val="22"/>
          <w:lang w:val="en-GB"/>
        </w:rPr>
      </w:pPr>
    </w:p>
    <w:p w:rsidR="000F52F9" w:rsidRPr="00E03336" w:rsidRDefault="000F52F9" w:rsidP="00910E11">
      <w:pPr>
        <w:jc w:val="both"/>
        <w:rPr>
          <w:rFonts w:ascii="Verdana" w:hAnsi="Verdana"/>
          <w:i/>
          <w:color w:val="008080"/>
          <w:szCs w:val="22"/>
        </w:rPr>
      </w:pPr>
      <w:r w:rsidRPr="00E03336">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E03336">
        <w:rPr>
          <w:rFonts w:ascii="Verdana" w:hAnsi="Verdana"/>
          <w:i/>
          <w:color w:val="008080"/>
          <w:szCs w:val="22"/>
        </w:rPr>
        <w:t xml:space="preserve">50% of the session. </w:t>
      </w:r>
    </w:p>
    <w:p w:rsidR="000F52F9" w:rsidRPr="00E03336" w:rsidRDefault="000F52F9" w:rsidP="00564C9C">
      <w:pPr>
        <w:spacing w:line="360" w:lineRule="auto"/>
        <w:jc w:val="both"/>
        <w:rPr>
          <w:rFonts w:ascii="Verdana" w:hAnsi="Verdana"/>
          <w:b/>
          <w:bCs/>
          <w:color w:val="000080"/>
          <w:sz w:val="24"/>
          <w:szCs w:val="28"/>
          <w:lang w:val="en-GB"/>
        </w:rPr>
      </w:pPr>
    </w:p>
    <w:tbl>
      <w:tblPr>
        <w:tblW w:w="0" w:type="auto"/>
        <w:tblInd w:w="-10" w:type="dxa"/>
        <w:tblLayout w:type="fixed"/>
        <w:tblLook w:val="0000"/>
      </w:tblPr>
      <w:tblGrid>
        <w:gridCol w:w="1384"/>
        <w:gridCol w:w="2938"/>
        <w:gridCol w:w="2161"/>
        <w:gridCol w:w="2181"/>
      </w:tblGrid>
      <w:tr w:rsidR="000F52F9" w:rsidRPr="00E03336">
        <w:tc>
          <w:tcPr>
            <w:tcW w:w="1384" w:type="dxa"/>
            <w:tcBorders>
              <w:top w:val="single" w:sz="4" w:space="0" w:color="000000"/>
              <w:left w:val="single" w:sz="4" w:space="0" w:color="000000"/>
              <w:bottom w:val="single" w:sz="4" w:space="0" w:color="000000"/>
            </w:tcBorders>
          </w:tcPr>
          <w:p w:rsidR="000F52F9" w:rsidRPr="00E03336" w:rsidRDefault="000F52F9" w:rsidP="00564C9C">
            <w:pPr>
              <w:snapToGrid w:val="0"/>
              <w:jc w:val="both"/>
              <w:rPr>
                <w:rFonts w:ascii="Verdana" w:hAnsi="Verdana"/>
                <w:b/>
                <w:bCs/>
              </w:rPr>
            </w:pPr>
            <w:r w:rsidRPr="00E03336">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0F52F9" w:rsidRPr="00E03336" w:rsidRDefault="000F52F9" w:rsidP="00564C9C">
            <w:pPr>
              <w:snapToGrid w:val="0"/>
              <w:jc w:val="both"/>
              <w:rPr>
                <w:rFonts w:ascii="Verdana" w:hAnsi="Verdana"/>
                <w:b/>
                <w:bCs/>
              </w:rPr>
            </w:pPr>
            <w:r w:rsidRPr="00E03336">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0F52F9" w:rsidRPr="00E03336" w:rsidRDefault="000F52F9" w:rsidP="00564C9C">
            <w:pPr>
              <w:snapToGrid w:val="0"/>
              <w:jc w:val="both"/>
              <w:rPr>
                <w:rFonts w:ascii="Verdana" w:hAnsi="Verdana"/>
                <w:b/>
                <w:bCs/>
              </w:rPr>
            </w:pPr>
            <w:r w:rsidRPr="00E03336">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0F52F9" w:rsidRPr="00E03336" w:rsidRDefault="000F52F9" w:rsidP="00564C9C">
            <w:pPr>
              <w:snapToGrid w:val="0"/>
              <w:jc w:val="both"/>
              <w:rPr>
                <w:rFonts w:ascii="Verdana" w:hAnsi="Verdana"/>
                <w:b/>
                <w:bCs/>
              </w:rPr>
            </w:pPr>
            <w:r w:rsidRPr="00E03336">
              <w:rPr>
                <w:rFonts w:ascii="Verdana" w:hAnsi="Verdana"/>
                <w:b/>
                <w:bCs/>
                <w:szCs w:val="22"/>
              </w:rPr>
              <w:t>Sources</w:t>
            </w:r>
          </w:p>
        </w:tc>
      </w:tr>
      <w:tr w:rsidR="000F52F9" w:rsidRPr="00E03336">
        <w:tc>
          <w:tcPr>
            <w:tcW w:w="1384" w:type="dxa"/>
            <w:tcBorders>
              <w:top w:val="single" w:sz="4" w:space="0" w:color="000000"/>
              <w:left w:val="single" w:sz="4" w:space="0" w:color="000000"/>
              <w:bottom w:val="single" w:sz="4" w:space="0" w:color="000000"/>
            </w:tcBorders>
          </w:tcPr>
          <w:p w:rsidR="000F52F9" w:rsidRPr="00E03336" w:rsidRDefault="000F52F9" w:rsidP="00527AB7">
            <w:pPr>
              <w:snapToGrid w:val="0"/>
              <w:rPr>
                <w:rFonts w:ascii="Verdana" w:hAnsi="Verdana"/>
                <w:bCs/>
              </w:rPr>
            </w:pPr>
            <w:r w:rsidRPr="00E03336">
              <w:rPr>
                <w:rFonts w:ascii="Verdana" w:hAnsi="Verdana"/>
                <w:bCs/>
                <w:szCs w:val="22"/>
              </w:rPr>
              <w:t>20 minutes</w:t>
            </w:r>
          </w:p>
        </w:tc>
        <w:tc>
          <w:tcPr>
            <w:tcW w:w="2938" w:type="dxa"/>
            <w:tcBorders>
              <w:top w:val="single" w:sz="4" w:space="0" w:color="000000"/>
              <w:left w:val="single" w:sz="4" w:space="0" w:color="000000"/>
              <w:bottom w:val="single" w:sz="4" w:space="0" w:color="000000"/>
            </w:tcBorders>
          </w:tcPr>
          <w:p w:rsidR="000F52F9" w:rsidRPr="00E03336" w:rsidRDefault="000F52F9" w:rsidP="00527AB7">
            <w:pPr>
              <w:numPr>
                <w:ilvl w:val="0"/>
                <w:numId w:val="14"/>
              </w:numPr>
              <w:ind w:left="186" w:hanging="186"/>
              <w:rPr>
                <w:rFonts w:ascii="Verdana" w:hAnsi="Verdana"/>
                <w:bCs/>
                <w:lang w:val="en-GB"/>
              </w:rPr>
            </w:pPr>
            <w:r w:rsidRPr="00E03336">
              <w:rPr>
                <w:rFonts w:ascii="Verdana" w:hAnsi="Verdana"/>
                <w:bCs/>
                <w:szCs w:val="22"/>
                <w:lang w:val="en-GB"/>
              </w:rPr>
              <w:t>To present relevant aspects of quality oriented towards cultural and ethnic diversity, assessment methodologies and strategies.</w:t>
            </w:r>
          </w:p>
        </w:tc>
        <w:tc>
          <w:tcPr>
            <w:tcW w:w="2161" w:type="dxa"/>
            <w:tcBorders>
              <w:top w:val="single" w:sz="4" w:space="0" w:color="000000"/>
              <w:left w:val="single" w:sz="4" w:space="0" w:color="000000"/>
              <w:bottom w:val="single" w:sz="4" w:space="0" w:color="000000"/>
            </w:tcBorders>
          </w:tcPr>
          <w:p w:rsidR="000F52F9" w:rsidRPr="00E03336" w:rsidRDefault="000F52F9" w:rsidP="006C4569">
            <w:pPr>
              <w:rPr>
                <w:rFonts w:ascii="Verdana" w:hAnsi="Verdana"/>
                <w:bCs/>
                <w:lang w:val="en-GB"/>
              </w:rPr>
            </w:pPr>
            <w:r w:rsidRPr="00E03336">
              <w:rPr>
                <w:rFonts w:ascii="Verdana" w:hAnsi="Verdana"/>
                <w:b/>
                <w:bCs/>
                <w:szCs w:val="22"/>
                <w:lang w:val="en-GB"/>
              </w:rPr>
              <w:t>Presentation</w:t>
            </w:r>
            <w:r w:rsidRPr="00E03336">
              <w:rPr>
                <w:rFonts w:ascii="Verdana" w:hAnsi="Verdana"/>
                <w:bCs/>
                <w:szCs w:val="22"/>
                <w:lang w:val="en-GB"/>
              </w:rPr>
              <w:t xml:space="preserve"> “Quality of health care taking diversity into account” and questions</w:t>
            </w:r>
          </w:p>
          <w:p w:rsidR="000F52F9" w:rsidRPr="00E03336" w:rsidRDefault="000F52F9" w:rsidP="006C4569">
            <w:pPr>
              <w:rPr>
                <w:rFonts w:ascii="Verdana" w:hAnsi="Verdana"/>
                <w:bCs/>
                <w:i/>
                <w:lang w:val="en-GB"/>
              </w:rPr>
            </w:pPr>
            <w:r w:rsidRPr="00E03336">
              <w:rPr>
                <w:rFonts w:ascii="Verdana" w:hAnsi="Verdana"/>
                <w:bCs/>
                <w:i/>
                <w:szCs w:val="22"/>
                <w:lang w:val="en-GB"/>
              </w:rPr>
              <w:t>(Slide 1-20)</w:t>
            </w:r>
          </w:p>
        </w:tc>
        <w:tc>
          <w:tcPr>
            <w:tcW w:w="2181" w:type="dxa"/>
            <w:tcBorders>
              <w:top w:val="single" w:sz="4" w:space="0" w:color="000000"/>
              <w:left w:val="single" w:sz="4" w:space="0" w:color="000000"/>
              <w:bottom w:val="single" w:sz="4" w:space="0" w:color="000000"/>
              <w:right w:val="single" w:sz="4" w:space="0" w:color="000000"/>
            </w:tcBorders>
          </w:tcPr>
          <w:p w:rsidR="000F52F9" w:rsidRPr="00E03336" w:rsidRDefault="000F52F9" w:rsidP="008B54FA">
            <w:pPr>
              <w:snapToGrid w:val="0"/>
              <w:rPr>
                <w:rFonts w:ascii="Verdana" w:hAnsi="Verdana"/>
                <w:bCs/>
                <w:lang w:val="en-GB"/>
              </w:rPr>
            </w:pPr>
            <w:r w:rsidRPr="00E03336">
              <w:rPr>
                <w:rFonts w:ascii="Verdana" w:hAnsi="Verdana"/>
                <w:bCs/>
                <w:szCs w:val="22"/>
                <w:lang w:val="en-GB"/>
              </w:rPr>
              <w:t>Projector, laptop, screen.</w:t>
            </w:r>
          </w:p>
          <w:p w:rsidR="000F52F9" w:rsidRPr="00E03336" w:rsidRDefault="000F52F9" w:rsidP="008B54FA">
            <w:pPr>
              <w:rPr>
                <w:rFonts w:ascii="Verdana" w:hAnsi="Verdana"/>
                <w:bCs/>
                <w:lang w:val="en-GB"/>
              </w:rPr>
            </w:pPr>
            <w:r w:rsidRPr="00E03336">
              <w:rPr>
                <w:rFonts w:ascii="Verdana" w:hAnsi="Verdana"/>
                <w:bCs/>
                <w:szCs w:val="22"/>
                <w:lang w:val="en-GB"/>
              </w:rPr>
              <w:t>M4_U4_Presentation</w:t>
            </w:r>
          </w:p>
          <w:p w:rsidR="000F52F9" w:rsidRPr="00E03336" w:rsidRDefault="000F52F9" w:rsidP="008B54FA">
            <w:pPr>
              <w:rPr>
                <w:rFonts w:ascii="Verdana" w:hAnsi="Verdana"/>
                <w:bCs/>
                <w:lang w:val="en-GB"/>
              </w:rPr>
            </w:pPr>
            <w:r w:rsidRPr="00E03336">
              <w:rPr>
                <w:rFonts w:ascii="Verdana" w:hAnsi="Verdana"/>
                <w:bCs/>
                <w:szCs w:val="22"/>
                <w:lang w:val="en-GB"/>
              </w:rPr>
              <w:t>M4_U4_Additional_Material</w:t>
            </w:r>
          </w:p>
        </w:tc>
      </w:tr>
      <w:tr w:rsidR="000F52F9" w:rsidRPr="00E03336">
        <w:tc>
          <w:tcPr>
            <w:tcW w:w="1384" w:type="dxa"/>
            <w:tcBorders>
              <w:top w:val="single" w:sz="4" w:space="0" w:color="000000"/>
              <w:left w:val="single" w:sz="4" w:space="0" w:color="000000"/>
              <w:bottom w:val="single" w:sz="4" w:space="0" w:color="000000"/>
            </w:tcBorders>
          </w:tcPr>
          <w:p w:rsidR="000F52F9" w:rsidRPr="00E03336" w:rsidRDefault="000F52F9" w:rsidP="00527AB7">
            <w:pPr>
              <w:snapToGrid w:val="0"/>
              <w:rPr>
                <w:rFonts w:ascii="Verdana" w:hAnsi="Verdana"/>
                <w:bCs/>
              </w:rPr>
            </w:pPr>
            <w:r w:rsidRPr="00E03336">
              <w:rPr>
                <w:rFonts w:ascii="Verdana" w:hAnsi="Verdana"/>
                <w:bCs/>
                <w:szCs w:val="22"/>
              </w:rPr>
              <w:t>50 minutes</w:t>
            </w:r>
          </w:p>
        </w:tc>
        <w:tc>
          <w:tcPr>
            <w:tcW w:w="2938" w:type="dxa"/>
            <w:tcBorders>
              <w:top w:val="single" w:sz="4" w:space="0" w:color="000000"/>
              <w:left w:val="single" w:sz="4" w:space="0" w:color="000000"/>
              <w:bottom w:val="single" w:sz="4" w:space="0" w:color="000000"/>
            </w:tcBorders>
          </w:tcPr>
          <w:p w:rsidR="000F52F9" w:rsidRPr="00E03336" w:rsidRDefault="000F52F9" w:rsidP="00527AB7">
            <w:pPr>
              <w:numPr>
                <w:ilvl w:val="0"/>
                <w:numId w:val="14"/>
              </w:numPr>
              <w:ind w:left="186" w:hanging="186"/>
              <w:rPr>
                <w:rFonts w:ascii="Verdana" w:hAnsi="Verdana"/>
                <w:bCs/>
                <w:lang w:val="en-GB"/>
              </w:rPr>
            </w:pPr>
            <w:r w:rsidRPr="00E03336">
              <w:rPr>
                <w:rFonts w:ascii="Verdana" w:hAnsi="Verdana"/>
                <w:bCs/>
                <w:szCs w:val="22"/>
                <w:lang w:val="en-GB"/>
              </w:rPr>
              <w:t xml:space="preserve">To open a discussion on experiences, opportunities and limitations of assessment methods for quality of health care oriented to cultural and ethnic diversity. </w:t>
            </w:r>
          </w:p>
        </w:tc>
        <w:tc>
          <w:tcPr>
            <w:tcW w:w="2161" w:type="dxa"/>
            <w:tcBorders>
              <w:top w:val="single" w:sz="4" w:space="0" w:color="000000"/>
              <w:left w:val="single" w:sz="4" w:space="0" w:color="000000"/>
              <w:bottom w:val="single" w:sz="4" w:space="0" w:color="000000"/>
            </w:tcBorders>
          </w:tcPr>
          <w:p w:rsidR="000F52F9" w:rsidRPr="00E03336" w:rsidRDefault="000F52F9" w:rsidP="006C4569">
            <w:pPr>
              <w:rPr>
                <w:rFonts w:ascii="Verdana" w:hAnsi="Verdana"/>
                <w:bCs/>
                <w:lang w:val="en-GB"/>
              </w:rPr>
            </w:pPr>
            <w:r w:rsidRPr="00E03336">
              <w:rPr>
                <w:rFonts w:ascii="Verdana" w:hAnsi="Verdana"/>
                <w:b/>
                <w:bCs/>
                <w:szCs w:val="22"/>
                <w:lang w:val="en-GB"/>
              </w:rPr>
              <w:t xml:space="preserve">Activity </w:t>
            </w:r>
            <w:r w:rsidRPr="00E03336">
              <w:rPr>
                <w:rFonts w:ascii="Verdana" w:hAnsi="Verdana"/>
                <w:bCs/>
                <w:szCs w:val="22"/>
                <w:lang w:val="en-GB"/>
              </w:rPr>
              <w:t>“Quality Assessment of Health Care Oriented towards Cultural and Ethnic Diversity”</w:t>
            </w:r>
          </w:p>
          <w:p w:rsidR="000F52F9" w:rsidRPr="00E03336" w:rsidRDefault="000F52F9"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t>Presentation of the methodology</w:t>
            </w:r>
          </w:p>
          <w:p w:rsidR="000F52F9" w:rsidRPr="00E03336" w:rsidRDefault="000F52F9"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t>Activity in pairs</w:t>
            </w:r>
          </w:p>
          <w:p w:rsidR="000F52F9" w:rsidRPr="00E03336" w:rsidRDefault="000F52F9"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t>Group discussion in plenary</w:t>
            </w:r>
          </w:p>
          <w:p w:rsidR="000F52F9" w:rsidRPr="00E03336" w:rsidRDefault="000F52F9" w:rsidP="006C4569">
            <w:pPr>
              <w:rPr>
                <w:rFonts w:ascii="Verdana" w:hAnsi="Verdana"/>
                <w:bCs/>
                <w:i/>
                <w:lang w:val="en-GB"/>
              </w:rPr>
            </w:pPr>
            <w:r w:rsidRPr="00E03336">
              <w:rPr>
                <w:rFonts w:ascii="Verdana" w:hAnsi="Verdana"/>
                <w:bCs/>
                <w:i/>
                <w:szCs w:val="22"/>
                <w:lang w:val="en-GB"/>
              </w:rPr>
              <w:t>(Slide 21)</w:t>
            </w:r>
          </w:p>
        </w:tc>
        <w:tc>
          <w:tcPr>
            <w:tcW w:w="2181" w:type="dxa"/>
            <w:tcBorders>
              <w:top w:val="single" w:sz="4" w:space="0" w:color="000000"/>
              <w:left w:val="single" w:sz="4" w:space="0" w:color="000000"/>
              <w:bottom w:val="single" w:sz="4" w:space="0" w:color="000000"/>
              <w:right w:val="single" w:sz="4" w:space="0" w:color="000000"/>
            </w:tcBorders>
          </w:tcPr>
          <w:p w:rsidR="000F52F9" w:rsidRPr="00E03336" w:rsidRDefault="000F52F9" w:rsidP="008B54FA">
            <w:pPr>
              <w:snapToGrid w:val="0"/>
              <w:rPr>
                <w:rFonts w:ascii="Verdana" w:hAnsi="Verdana"/>
                <w:bCs/>
                <w:lang w:val="en-GB"/>
              </w:rPr>
            </w:pPr>
            <w:r w:rsidRPr="00E03336">
              <w:rPr>
                <w:rFonts w:ascii="Verdana" w:hAnsi="Verdana"/>
                <w:bCs/>
                <w:szCs w:val="22"/>
                <w:lang w:val="en-GB"/>
              </w:rPr>
              <w:t>Projector, laptop, screen.</w:t>
            </w:r>
          </w:p>
          <w:p w:rsidR="000F52F9" w:rsidRPr="00E03336" w:rsidRDefault="000F52F9" w:rsidP="008B54FA">
            <w:pPr>
              <w:snapToGrid w:val="0"/>
              <w:rPr>
                <w:rFonts w:ascii="Verdana" w:hAnsi="Verdana"/>
                <w:bCs/>
                <w:lang w:val="en-GB"/>
              </w:rPr>
            </w:pPr>
            <w:r w:rsidRPr="00E03336">
              <w:rPr>
                <w:rFonts w:ascii="Verdana" w:hAnsi="Verdana"/>
                <w:bCs/>
                <w:szCs w:val="22"/>
                <w:lang w:val="en-GB"/>
              </w:rPr>
              <w:t>Template: M4_U4 Activity 1 Template</w:t>
            </w:r>
          </w:p>
        </w:tc>
      </w:tr>
    </w:tbl>
    <w:p w:rsidR="000F52F9" w:rsidRPr="00E03336" w:rsidRDefault="000F52F9">
      <w:pPr>
        <w:rPr>
          <w:rFonts w:ascii="Verdana" w:hAnsi="Verdana"/>
          <w:b/>
          <w:color w:val="000080"/>
          <w:sz w:val="28"/>
          <w:lang w:val="en-GB"/>
        </w:rPr>
      </w:pPr>
    </w:p>
    <w:p w:rsidR="000F52F9" w:rsidRPr="00E03336" w:rsidRDefault="000F52F9">
      <w:pPr>
        <w:rPr>
          <w:rFonts w:ascii="Verdana" w:hAnsi="Verdana"/>
          <w:b/>
          <w:color w:val="000080"/>
          <w:sz w:val="28"/>
          <w:lang w:val="en-GB"/>
        </w:rPr>
      </w:pPr>
      <w:r w:rsidRPr="00E03336">
        <w:rPr>
          <w:rFonts w:ascii="Verdana" w:hAnsi="Verdana"/>
          <w:b/>
          <w:color w:val="000080"/>
          <w:sz w:val="28"/>
          <w:lang w:val="en-GB"/>
        </w:rPr>
        <w:t>2. Presentation</w:t>
      </w:r>
    </w:p>
    <w:p w:rsidR="000F52F9" w:rsidRPr="00E03336" w:rsidRDefault="000F52F9">
      <w:pPr>
        <w:rPr>
          <w:rFonts w:ascii="Verdana" w:hAnsi="Verdana"/>
          <w:b/>
          <w:sz w:val="24"/>
          <w:lang w:val="en-GB"/>
        </w:rPr>
      </w:pPr>
    </w:p>
    <w:p w:rsidR="000F52F9" w:rsidRPr="00E03336" w:rsidRDefault="000F52F9" w:rsidP="00462F92">
      <w:pPr>
        <w:jc w:val="both"/>
        <w:rPr>
          <w:rFonts w:ascii="Verdana" w:hAnsi="Verdana"/>
          <w:lang w:val="en-GB"/>
        </w:rPr>
      </w:pPr>
      <w:r w:rsidRPr="00E03336">
        <w:rPr>
          <w:rFonts w:ascii="Verdana" w:hAnsi="Verdana"/>
          <w:b/>
          <w:lang w:val="en-GB"/>
        </w:rPr>
        <w:t xml:space="preserve">Slide 1: </w:t>
      </w:r>
      <w:r w:rsidRPr="00E03336">
        <w:rPr>
          <w:rFonts w:ascii="Verdana" w:hAnsi="Verdana"/>
          <w:lang w:val="en-GB"/>
        </w:rPr>
        <w:t xml:space="preserve"> Title page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b/>
          <w:lang w:val="en-GB"/>
        </w:rPr>
        <w:t>Slide 2:</w:t>
      </w:r>
      <w:r w:rsidRPr="00E03336">
        <w:rPr>
          <w:rFonts w:ascii="Verdana" w:hAnsi="Verdana"/>
          <w:lang w:val="en-GB"/>
        </w:rPr>
        <w:t xml:space="preserve"> Outcome of the session</w:t>
      </w:r>
    </w:p>
    <w:p w:rsidR="000F52F9" w:rsidRPr="00E03336" w:rsidRDefault="000F52F9" w:rsidP="00462F92">
      <w:pPr>
        <w:jc w:val="both"/>
        <w:rPr>
          <w:rFonts w:ascii="Verdana" w:hAnsi="Verdana"/>
          <w:lang w:val="en-GB"/>
        </w:rPr>
      </w:pPr>
    </w:p>
    <w:p w:rsidR="000F52F9" w:rsidRPr="00E03336" w:rsidRDefault="000F52F9" w:rsidP="000757A8">
      <w:pPr>
        <w:jc w:val="both"/>
        <w:rPr>
          <w:rFonts w:ascii="Verdana" w:hAnsi="Verdana"/>
          <w:lang w:val="en-GB"/>
        </w:rPr>
      </w:pPr>
      <w:r w:rsidRPr="00E03336">
        <w:rPr>
          <w:rFonts w:ascii="Verdana" w:hAnsi="Verdana"/>
          <w:b/>
          <w:lang w:val="en-GB"/>
        </w:rPr>
        <w:t xml:space="preserve">Slide 3: </w:t>
      </w:r>
      <w:r w:rsidRPr="00E03336">
        <w:rPr>
          <w:rFonts w:ascii="Verdana" w:hAnsi="Verdana"/>
          <w:lang w:val="en-GB"/>
        </w:rPr>
        <w:t xml:space="preserve">One frequently used </w:t>
      </w:r>
      <w:r w:rsidRPr="00E03336">
        <w:rPr>
          <w:rFonts w:ascii="Verdana" w:hAnsi="Verdana"/>
          <w:b/>
          <w:lang w:val="en-GB"/>
        </w:rPr>
        <w:t>model of quality of care, is that known as</w:t>
      </w:r>
      <w:r w:rsidRPr="00E03336">
        <w:rPr>
          <w:rFonts w:ascii="Verdana" w:hAnsi="Verdana"/>
          <w:lang w:val="en-GB"/>
        </w:rPr>
        <w:t xml:space="preserve"> the Donabedian model</w:t>
      </w:r>
      <w:r w:rsidRPr="00E03336">
        <w:rPr>
          <w:rStyle w:val="FootnoteReference"/>
          <w:rFonts w:ascii="Verdana" w:hAnsi="Verdana"/>
          <w:lang w:val="en-GB"/>
        </w:rPr>
        <w:footnoteReference w:id="1"/>
      </w:r>
      <w:r w:rsidRPr="00E03336">
        <w:rPr>
          <w:rFonts w:ascii="Verdana" w:hAnsi="Verdana"/>
          <w:lang w:val="en-GB"/>
        </w:rPr>
        <w:t xml:space="preserve">. This model identifies three relevant aspects of quality of care: 1. Structure, including buildings, equipment and staff, 2. Process, understanding actions in service delivery, and 3. Outcomes, meaning the effectiveness of actions in improving health. </w:t>
      </w:r>
    </w:p>
    <w:p w:rsidR="000F52F9" w:rsidRPr="00E03336" w:rsidRDefault="000F52F9" w:rsidP="000757A8">
      <w:pPr>
        <w:jc w:val="both"/>
        <w:rPr>
          <w:rFonts w:ascii="Verdana" w:hAnsi="Verdana"/>
          <w:lang w:val="en-GB"/>
        </w:rPr>
      </w:pPr>
    </w:p>
    <w:p w:rsidR="000F52F9" w:rsidRPr="00E03336" w:rsidRDefault="000F52F9" w:rsidP="000757A8">
      <w:pPr>
        <w:jc w:val="both"/>
        <w:rPr>
          <w:rFonts w:ascii="Verdana" w:hAnsi="Verdana"/>
          <w:szCs w:val="22"/>
          <w:lang w:val="en-GB"/>
        </w:rPr>
      </w:pPr>
      <w:r w:rsidRPr="00E03336">
        <w:rPr>
          <w:rFonts w:ascii="Verdana" w:hAnsi="Verdana"/>
          <w:szCs w:val="22"/>
        </w:rPr>
        <w:t>Mock-Muñoz de Luna et al.</w:t>
      </w:r>
      <w:r w:rsidRPr="00E03336">
        <w:rPr>
          <w:rStyle w:val="FootnoteReference"/>
          <w:rFonts w:ascii="Verdana" w:hAnsi="Verdana"/>
          <w:szCs w:val="22"/>
          <w:lang w:val="en-GB"/>
        </w:rPr>
        <w:footnoteReference w:id="2"/>
      </w:r>
      <w:r w:rsidRPr="00E03336">
        <w:rPr>
          <w:rFonts w:ascii="Verdana" w:hAnsi="Verdana"/>
          <w:szCs w:val="22"/>
        </w:rPr>
        <w:t xml:space="preserve"> </w:t>
      </w:r>
      <w:r w:rsidRPr="00E03336">
        <w:rPr>
          <w:rFonts w:ascii="Verdana" w:hAnsi="Verdana"/>
          <w:szCs w:val="22"/>
          <w:lang w:val="en-GB"/>
        </w:rPr>
        <w:t xml:space="preserve">indicate the complexity of assessing outcomes. Furthermore, they point out that in diverse societies </w:t>
      </w:r>
      <w:r w:rsidRPr="00E03336">
        <w:rPr>
          <w:rFonts w:ascii="Verdana" w:hAnsi="Verdana"/>
          <w:i/>
          <w:szCs w:val="22"/>
          <w:lang w:val="en-GB"/>
        </w:rPr>
        <w:t>“providing the same care to all will amount to providing inferior care to some”.</w:t>
      </w:r>
      <w:r w:rsidRPr="00E03336">
        <w:rPr>
          <w:rFonts w:ascii="Verdana" w:hAnsi="Verdana"/>
          <w:szCs w:val="22"/>
          <w:lang w:val="en-GB"/>
        </w:rPr>
        <w:t xml:space="preserve"> Furthermore, the authors stress that the barriers to health care, including cultural, linguistic and cultural barriers, may undermine the perceived quality of health care. Therefore, </w:t>
      </w:r>
      <w:r w:rsidRPr="00E03336">
        <w:rPr>
          <w:rFonts w:ascii="Verdana" w:hAnsi="Verdana"/>
          <w:b/>
          <w:szCs w:val="22"/>
          <w:lang w:val="en-GB"/>
        </w:rPr>
        <w:t>appropriateness, people-centeredness, and cultural acceptability of the health care</w:t>
      </w:r>
      <w:r w:rsidRPr="00E03336">
        <w:rPr>
          <w:rFonts w:ascii="Verdana" w:hAnsi="Verdana"/>
          <w:szCs w:val="22"/>
          <w:lang w:val="en-GB"/>
        </w:rPr>
        <w:t xml:space="preserve"> acquire specific relevance.</w:t>
      </w:r>
    </w:p>
    <w:p w:rsidR="000F52F9" w:rsidRPr="00E03336" w:rsidRDefault="000F52F9" w:rsidP="000757A8">
      <w:pPr>
        <w:jc w:val="both"/>
        <w:rPr>
          <w:rFonts w:ascii="Verdana" w:hAnsi="Verdana"/>
          <w:b/>
          <w:szCs w:val="22"/>
          <w:lang w:val="en-GB"/>
        </w:rPr>
      </w:pPr>
    </w:p>
    <w:p w:rsidR="000F52F9" w:rsidRPr="00E03336" w:rsidRDefault="000F52F9" w:rsidP="000757A8">
      <w:pPr>
        <w:jc w:val="both"/>
        <w:rPr>
          <w:rFonts w:ascii="Verdana" w:hAnsi="Verdana"/>
          <w:iCs/>
          <w:lang w:val="en-GB"/>
        </w:rPr>
      </w:pPr>
      <w:r w:rsidRPr="00E03336">
        <w:rPr>
          <w:rFonts w:ascii="Verdana" w:hAnsi="Verdana"/>
          <w:b/>
          <w:lang w:val="en-GB"/>
        </w:rPr>
        <w:t xml:space="preserve">Slide 4: </w:t>
      </w:r>
      <w:r w:rsidRPr="00E03336">
        <w:rPr>
          <w:rFonts w:ascii="Verdana" w:hAnsi="Verdana"/>
          <w:lang w:val="en-US"/>
        </w:rPr>
        <w:t xml:space="preserve">The </w:t>
      </w:r>
      <w:r w:rsidRPr="00E03336">
        <w:rPr>
          <w:rFonts w:ascii="Verdana" w:hAnsi="Verdana"/>
          <w:b/>
          <w:lang w:val="en-US"/>
        </w:rPr>
        <w:t>Committee on Economic, Social and Cultural Rights,</w:t>
      </w:r>
      <w:r w:rsidRPr="00E03336">
        <w:rPr>
          <w:rFonts w:ascii="Verdana" w:hAnsi="Verdana"/>
          <w:lang w:val="en-US"/>
        </w:rPr>
        <w:t xml:space="preserve"> in its </w:t>
      </w:r>
      <w:r w:rsidRPr="00E03336">
        <w:rPr>
          <w:rFonts w:ascii="Verdana" w:hAnsi="Verdana"/>
          <w:i/>
          <w:lang w:val="en-US"/>
        </w:rPr>
        <w:t>General Comment Nº 14 (2000), The right to the highest attainable standard of health</w:t>
      </w:r>
      <w:r w:rsidRPr="00E03336">
        <w:rPr>
          <w:rStyle w:val="FootnoteReference"/>
          <w:rFonts w:ascii="Verdana" w:hAnsi="Verdana"/>
          <w:i/>
          <w:lang w:val="en-US"/>
        </w:rPr>
        <w:footnoteReference w:id="3"/>
      </w:r>
      <w:r w:rsidRPr="00E03336">
        <w:rPr>
          <w:rFonts w:ascii="Verdana" w:hAnsi="Verdana"/>
          <w:i/>
          <w:lang w:val="en-US"/>
        </w:rPr>
        <w:t>,</w:t>
      </w:r>
      <w:r w:rsidRPr="00E03336">
        <w:rPr>
          <w:rFonts w:ascii="Verdana" w:hAnsi="Verdana"/>
          <w:lang w:val="en-US"/>
        </w:rPr>
        <w:t xml:space="preserve"> refers to health as a fundamental human right, </w:t>
      </w:r>
      <w:r w:rsidRPr="00E03336">
        <w:rPr>
          <w:rFonts w:ascii="Verdana" w:hAnsi="Verdana"/>
          <w:i/>
          <w:lang w:val="en-US"/>
        </w:rPr>
        <w:t>“closely related to and interdependent upon the realization of other human rights”</w:t>
      </w:r>
      <w:r w:rsidRPr="00E03336">
        <w:rPr>
          <w:rFonts w:ascii="Verdana" w:hAnsi="Verdana"/>
          <w:lang w:val="en-US"/>
        </w:rPr>
        <w:t xml:space="preserve">. As interrelated and essential elements of the right to health, the following aspects are identified: 1. Availability of health care, 2. Accessibility, including nondiscrimination, physical, economic and information accessibility, 3. Acceptability, defined as follows: </w:t>
      </w:r>
      <w:r w:rsidRPr="00E03336">
        <w:rPr>
          <w:rFonts w:ascii="Verdana" w:hAnsi="Verdana"/>
          <w:i/>
          <w:iCs/>
          <w:lang w:val="en-GB"/>
        </w:rPr>
        <w:t xml:space="preserve">“All health facilities, goods and services must be respectful of medical ethics and culturally appropriate, i.e. respectful of the culture of individuals, minorities, peoples and communities, sensitive to gender and life-cycle requirements, as well as being designed to respect confidentiality and improve the health status of those concerned”, </w:t>
      </w:r>
      <w:r w:rsidRPr="00E03336">
        <w:rPr>
          <w:rFonts w:ascii="Verdana" w:hAnsi="Verdana"/>
          <w:iCs/>
          <w:lang w:val="en-GB"/>
        </w:rPr>
        <w:t>as well as 4. Quality of health care (see also Module 4, Unit 1).</w:t>
      </w:r>
    </w:p>
    <w:p w:rsidR="000F52F9" w:rsidRPr="00E03336" w:rsidRDefault="000F52F9" w:rsidP="000757A8">
      <w:pPr>
        <w:jc w:val="both"/>
        <w:rPr>
          <w:rFonts w:ascii="Verdana" w:hAnsi="Verdana"/>
          <w:iCs/>
          <w:lang w:val="en-GB"/>
        </w:rPr>
      </w:pPr>
    </w:p>
    <w:p w:rsidR="000F52F9" w:rsidRPr="00E03336" w:rsidRDefault="000F52F9" w:rsidP="000757A8">
      <w:pPr>
        <w:jc w:val="both"/>
        <w:rPr>
          <w:rFonts w:ascii="Verdana" w:hAnsi="Verdana"/>
          <w:lang w:val="en-GB"/>
        </w:rPr>
      </w:pPr>
      <w:r w:rsidRPr="00E03336">
        <w:rPr>
          <w:rFonts w:ascii="Verdana" w:hAnsi="Verdana"/>
          <w:b/>
          <w:lang w:val="en-GB"/>
        </w:rPr>
        <w:t xml:space="preserve">Slide 5: </w:t>
      </w:r>
      <w:r w:rsidRPr="00E03336">
        <w:rPr>
          <w:rFonts w:ascii="Verdana" w:hAnsi="Verdana"/>
          <w:lang w:val="en-GB"/>
        </w:rPr>
        <w:t>A recent study</w:t>
      </w:r>
      <w:r w:rsidRPr="00E03336">
        <w:rPr>
          <w:rStyle w:val="FootnoteReference"/>
          <w:rFonts w:ascii="Verdana" w:hAnsi="Verdana"/>
          <w:lang w:val="en-GB"/>
        </w:rPr>
        <w:footnoteReference w:id="4"/>
      </w:r>
      <w:r w:rsidRPr="00E03336">
        <w:rPr>
          <w:rFonts w:ascii="Verdana" w:hAnsi="Verdana"/>
          <w:lang w:val="en-GB"/>
        </w:rPr>
        <w:t xml:space="preserve"> state that </w:t>
      </w:r>
      <w:r w:rsidRPr="00E03336">
        <w:rPr>
          <w:rFonts w:ascii="Verdana" w:hAnsi="Verdana"/>
          <w:b/>
          <w:lang w:val="en-GB"/>
        </w:rPr>
        <w:t>migrants</w:t>
      </w:r>
      <w:r w:rsidRPr="00E03336">
        <w:rPr>
          <w:rFonts w:ascii="Verdana" w:hAnsi="Verdana"/>
          <w:lang w:val="en-GB"/>
        </w:rPr>
        <w:t xml:space="preserve"> receive a</w:t>
      </w:r>
      <w:r w:rsidRPr="00E03336">
        <w:rPr>
          <w:rFonts w:ascii="Verdana" w:hAnsi="Verdana"/>
          <w:b/>
          <w:lang w:val="en-GB"/>
        </w:rPr>
        <w:t xml:space="preserve"> lower quality of health care </w:t>
      </w:r>
      <w:r w:rsidRPr="00E03336">
        <w:rPr>
          <w:rFonts w:ascii="Verdana" w:hAnsi="Verdana"/>
          <w:lang w:val="en-GB"/>
        </w:rPr>
        <w:t xml:space="preserve">than the general population, specifically in the case of preventive health care. </w:t>
      </w:r>
    </w:p>
    <w:p w:rsidR="000F52F9" w:rsidRPr="00E03336" w:rsidRDefault="000F52F9" w:rsidP="000757A8">
      <w:pPr>
        <w:jc w:val="both"/>
        <w:rPr>
          <w:rFonts w:ascii="Verdana" w:hAnsi="Verdana"/>
          <w:b/>
          <w:lang w:val="en-GB"/>
        </w:rPr>
      </w:pPr>
    </w:p>
    <w:p w:rsidR="000F52F9" w:rsidRPr="00E03336" w:rsidRDefault="000F52F9" w:rsidP="000757A8">
      <w:pPr>
        <w:jc w:val="both"/>
        <w:rPr>
          <w:rFonts w:ascii="Verdana" w:hAnsi="Verdana"/>
          <w:lang w:val="en-GB"/>
        </w:rPr>
      </w:pPr>
      <w:r w:rsidRPr="00E03336">
        <w:rPr>
          <w:rFonts w:ascii="Verdana" w:hAnsi="Verdana"/>
          <w:lang w:val="en-GB"/>
        </w:rPr>
        <w:t>According to the essential aspects established by the Committee on Economic, Social and Cultural Rights, recent studies and reports</w:t>
      </w:r>
      <w:r w:rsidRPr="00E03336">
        <w:rPr>
          <w:rStyle w:val="FootnoteReference"/>
          <w:rFonts w:ascii="Verdana" w:hAnsi="Verdana"/>
          <w:lang w:val="en-GB"/>
        </w:rPr>
        <w:footnoteReference w:id="5"/>
      </w:r>
      <w:r w:rsidRPr="00E03336">
        <w:rPr>
          <w:rFonts w:ascii="Verdana" w:hAnsi="Verdana"/>
          <w:szCs w:val="22"/>
          <w:vertAlign w:val="superscript"/>
          <w:lang w:val="en-GB"/>
        </w:rPr>
        <w:t>,</w:t>
      </w:r>
      <w:r w:rsidRPr="00E03336">
        <w:rPr>
          <w:rStyle w:val="FootnoteReference"/>
          <w:rFonts w:ascii="Verdana" w:hAnsi="Verdana"/>
          <w:lang w:val="en-GB"/>
        </w:rPr>
        <w:footnoteReference w:id="6"/>
      </w:r>
      <w:r w:rsidRPr="00E03336">
        <w:rPr>
          <w:rFonts w:ascii="Verdana" w:hAnsi="Verdana"/>
          <w:szCs w:val="22"/>
          <w:vertAlign w:val="superscript"/>
          <w:lang w:val="en-GB"/>
        </w:rPr>
        <w:t>,</w:t>
      </w:r>
      <w:r w:rsidRPr="00E03336">
        <w:rPr>
          <w:rStyle w:val="FootnoteReference"/>
          <w:rFonts w:ascii="Verdana" w:hAnsi="Verdana"/>
          <w:szCs w:val="22"/>
          <w:lang w:val="en-GB"/>
        </w:rPr>
        <w:footnoteReference w:id="7"/>
      </w:r>
      <w:r w:rsidRPr="00E03336">
        <w:rPr>
          <w:rFonts w:ascii="Verdana" w:hAnsi="Verdana"/>
          <w:szCs w:val="22"/>
          <w:vertAlign w:val="superscript"/>
          <w:lang w:val="en-GB"/>
        </w:rPr>
        <w:t>,</w:t>
      </w:r>
      <w:r w:rsidRPr="00E03336">
        <w:rPr>
          <w:rStyle w:val="FootnoteReference"/>
          <w:rFonts w:ascii="Verdana" w:hAnsi="Verdana"/>
          <w:szCs w:val="22"/>
          <w:lang w:val="en-GB"/>
        </w:rPr>
        <w:footnoteReference w:id="8"/>
      </w:r>
      <w:r w:rsidRPr="00E03336">
        <w:rPr>
          <w:rFonts w:ascii="Verdana" w:hAnsi="Verdana"/>
          <w:lang w:val="en-GB"/>
        </w:rPr>
        <w:t xml:space="preserve"> identify </w:t>
      </w:r>
      <w:r w:rsidRPr="00E03336">
        <w:rPr>
          <w:rFonts w:ascii="Verdana" w:hAnsi="Verdana"/>
          <w:b/>
          <w:lang w:val="en-GB"/>
        </w:rPr>
        <w:t>relevant aspects for quality of health care oriented towards cultural and ethnic diversity</w:t>
      </w:r>
      <w:r w:rsidRPr="00E03336">
        <w:rPr>
          <w:rFonts w:ascii="Verdana" w:hAnsi="Verdana"/>
          <w:lang w:val="en-GB"/>
        </w:rPr>
        <w:t>, including 1. The principle of non-discrimination, facilitating the same access to health care services and quality of care to all people, regardless of nationality, administrative status and ethnicity, 2. Reduction of social  inequalities, 3. People-centeredness and intercultural competence of health professionals, and 4. Cultural acceptability of health care strategies. The relevance of a needs assessment is stressed, whilst at the same time highlighting the importance of moving towards participatory approaches. Finally, the application of quality assessment methods is identified as a relevant aspect.</w:t>
      </w:r>
    </w:p>
    <w:p w:rsidR="000F52F9" w:rsidRPr="00E03336" w:rsidRDefault="000F52F9" w:rsidP="00462F92">
      <w:pPr>
        <w:jc w:val="both"/>
        <w:rPr>
          <w:rFonts w:ascii="Verdana" w:hAnsi="Verdana"/>
          <w:lang w:val="en-GB"/>
        </w:rPr>
      </w:pPr>
    </w:p>
    <w:p w:rsidR="000F52F9" w:rsidRPr="00E03336" w:rsidRDefault="000F52F9" w:rsidP="00A90044">
      <w:pPr>
        <w:jc w:val="both"/>
        <w:rPr>
          <w:rFonts w:ascii="Verdana" w:hAnsi="Verdana"/>
          <w:lang w:val="en-GB"/>
        </w:rPr>
      </w:pPr>
      <w:r w:rsidRPr="00E03336">
        <w:rPr>
          <w:rFonts w:ascii="Verdana" w:hAnsi="Verdana"/>
          <w:b/>
          <w:lang w:val="en-GB"/>
        </w:rPr>
        <w:t>Slide 6: Access to health care</w:t>
      </w:r>
      <w:r w:rsidRPr="00E03336">
        <w:rPr>
          <w:rFonts w:ascii="Verdana" w:hAnsi="Verdana"/>
          <w:lang w:val="en-GB"/>
        </w:rPr>
        <w:t xml:space="preserve"> and</w:t>
      </w:r>
      <w:r w:rsidRPr="00E03336">
        <w:rPr>
          <w:rFonts w:ascii="Verdana" w:hAnsi="Verdana"/>
          <w:b/>
          <w:lang w:val="en-GB"/>
        </w:rPr>
        <w:t xml:space="preserve"> barriers </w:t>
      </w:r>
      <w:r w:rsidRPr="00E03336">
        <w:rPr>
          <w:rFonts w:ascii="Verdana" w:hAnsi="Verdana"/>
          <w:lang w:val="en-GB"/>
        </w:rPr>
        <w:t xml:space="preserve">to this access are conceptualized as a </w:t>
      </w:r>
      <w:r w:rsidRPr="00E03336">
        <w:rPr>
          <w:rFonts w:ascii="Verdana" w:hAnsi="Verdana"/>
          <w:b/>
          <w:lang w:val="en-GB"/>
        </w:rPr>
        <w:t>relevant aspect for quality of health care</w:t>
      </w:r>
      <w:r w:rsidRPr="00E03336">
        <w:rPr>
          <w:rStyle w:val="FootnoteReference"/>
          <w:rFonts w:ascii="Verdana" w:hAnsi="Verdana"/>
          <w:lang w:val="en-GB"/>
        </w:rPr>
        <w:footnoteReference w:id="9"/>
      </w:r>
      <w:r w:rsidRPr="00E03336">
        <w:rPr>
          <w:rFonts w:ascii="Verdana" w:hAnsi="Verdana"/>
          <w:lang w:val="en-GB"/>
        </w:rPr>
        <w:t xml:space="preserve">. </w:t>
      </w:r>
    </w:p>
    <w:p w:rsidR="000F52F9" w:rsidRPr="00E03336" w:rsidRDefault="000F52F9" w:rsidP="00A90044">
      <w:pPr>
        <w:jc w:val="both"/>
        <w:rPr>
          <w:rFonts w:ascii="Verdana" w:hAnsi="Verdana"/>
          <w:lang w:val="en-GB"/>
        </w:rPr>
      </w:pPr>
    </w:p>
    <w:p w:rsidR="000F52F9" w:rsidRPr="00E03336" w:rsidRDefault="000F52F9" w:rsidP="00A90044">
      <w:pPr>
        <w:jc w:val="both"/>
        <w:rPr>
          <w:rFonts w:ascii="Verdana" w:hAnsi="Verdana"/>
          <w:lang w:val="en-GB"/>
        </w:rPr>
      </w:pPr>
      <w:r w:rsidRPr="00E03336">
        <w:rPr>
          <w:rFonts w:ascii="Verdana" w:hAnsi="Verdana"/>
          <w:lang w:val="en-GB"/>
        </w:rPr>
        <w:t>Recent studies</w:t>
      </w:r>
      <w:r w:rsidRPr="00E03336">
        <w:rPr>
          <w:rStyle w:val="FootnoteReference"/>
          <w:rFonts w:ascii="Verdana" w:hAnsi="Verdana"/>
          <w:sz w:val="20"/>
        </w:rPr>
        <w:footnoteReference w:id="10"/>
      </w:r>
      <w:r w:rsidRPr="00E03336">
        <w:rPr>
          <w:rStyle w:val="FootnoteReference"/>
          <w:rFonts w:ascii="Verdana" w:hAnsi="Verdana"/>
          <w:sz w:val="20"/>
          <w:lang w:val="en-GB"/>
        </w:rPr>
        <w:t>,</w:t>
      </w:r>
      <w:r w:rsidRPr="00E03336">
        <w:rPr>
          <w:rStyle w:val="FootnoteReference"/>
          <w:rFonts w:ascii="Verdana" w:hAnsi="Verdana"/>
          <w:sz w:val="20"/>
        </w:rPr>
        <w:footnoteReference w:id="11"/>
      </w:r>
      <w:r w:rsidRPr="00E03336">
        <w:rPr>
          <w:rFonts w:ascii="Verdana" w:hAnsi="Verdana"/>
          <w:sz w:val="20"/>
          <w:vertAlign w:val="superscript"/>
          <w:lang w:val="en-GB"/>
        </w:rPr>
        <w:t>,</w:t>
      </w:r>
      <w:r w:rsidRPr="00E03336">
        <w:rPr>
          <w:rStyle w:val="FootnoteReference"/>
          <w:rFonts w:ascii="Verdana" w:hAnsi="Verdana"/>
          <w:sz w:val="20"/>
        </w:rPr>
        <w:footnoteReference w:id="12"/>
      </w:r>
      <w:r w:rsidRPr="00E03336">
        <w:rPr>
          <w:rFonts w:ascii="Verdana" w:hAnsi="Verdana"/>
          <w:sz w:val="20"/>
          <w:vertAlign w:val="superscript"/>
          <w:lang w:val="en-GB"/>
        </w:rPr>
        <w:t>,</w:t>
      </w:r>
      <w:r w:rsidRPr="00E03336">
        <w:rPr>
          <w:rStyle w:val="FootnoteReference"/>
          <w:rFonts w:ascii="Verdana" w:hAnsi="Verdana"/>
          <w:sz w:val="20"/>
        </w:rPr>
        <w:footnoteReference w:id="13"/>
      </w:r>
      <w:r w:rsidRPr="00E03336">
        <w:rPr>
          <w:rFonts w:ascii="Verdana" w:hAnsi="Verdana"/>
          <w:sz w:val="20"/>
          <w:vertAlign w:val="superscript"/>
          <w:lang w:val="en-GB"/>
        </w:rPr>
        <w:t>,</w:t>
      </w:r>
      <w:r w:rsidRPr="00E03336">
        <w:rPr>
          <w:rStyle w:val="FootnoteReference"/>
          <w:rFonts w:ascii="Verdana" w:hAnsi="Verdana"/>
          <w:sz w:val="20"/>
        </w:rPr>
        <w:footnoteReference w:id="14"/>
      </w:r>
      <w:r w:rsidRPr="00E03336">
        <w:rPr>
          <w:rFonts w:ascii="Verdana" w:hAnsi="Verdana"/>
          <w:sz w:val="20"/>
          <w:vertAlign w:val="superscript"/>
          <w:lang w:val="en-GB"/>
        </w:rPr>
        <w:t>,</w:t>
      </w:r>
      <w:r w:rsidRPr="00E03336">
        <w:rPr>
          <w:rStyle w:val="FootnoteReference"/>
          <w:rFonts w:ascii="Verdana" w:hAnsi="Verdana"/>
          <w:sz w:val="20"/>
        </w:rPr>
        <w:footnoteReference w:id="15"/>
      </w:r>
      <w:r w:rsidRPr="00E03336">
        <w:rPr>
          <w:rFonts w:ascii="Verdana" w:hAnsi="Verdana"/>
          <w:sz w:val="20"/>
          <w:vertAlign w:val="superscript"/>
          <w:lang w:val="en-GB"/>
        </w:rPr>
        <w:t>,</w:t>
      </w:r>
      <w:r w:rsidRPr="00E03336">
        <w:rPr>
          <w:rStyle w:val="FootnoteReference"/>
          <w:rFonts w:ascii="Verdana" w:hAnsi="Verdana"/>
          <w:sz w:val="20"/>
        </w:rPr>
        <w:footnoteReference w:id="16"/>
      </w:r>
      <w:r w:rsidRPr="00E03336">
        <w:rPr>
          <w:rFonts w:ascii="Verdana" w:hAnsi="Verdana"/>
          <w:sz w:val="20"/>
          <w:vertAlign w:val="superscript"/>
          <w:lang w:val="en-GB"/>
        </w:rPr>
        <w:t>,</w:t>
      </w:r>
      <w:r w:rsidRPr="00E03336">
        <w:rPr>
          <w:rStyle w:val="FootnoteReference"/>
          <w:rFonts w:ascii="Verdana" w:hAnsi="Verdana"/>
          <w:sz w:val="20"/>
        </w:rPr>
        <w:footnoteReference w:id="17"/>
      </w:r>
      <w:r w:rsidRPr="00E03336">
        <w:rPr>
          <w:rFonts w:ascii="Verdana" w:hAnsi="Verdana"/>
          <w:sz w:val="20"/>
          <w:vertAlign w:val="superscript"/>
          <w:lang w:val="en-GB"/>
        </w:rPr>
        <w:t>,</w:t>
      </w:r>
      <w:r w:rsidRPr="00E03336">
        <w:rPr>
          <w:rStyle w:val="FootnoteReference"/>
          <w:rFonts w:ascii="Verdana" w:hAnsi="Verdana"/>
          <w:sz w:val="20"/>
        </w:rPr>
        <w:footnoteReference w:id="18"/>
      </w:r>
      <w:r w:rsidRPr="00E03336">
        <w:rPr>
          <w:rFonts w:ascii="Verdana" w:hAnsi="Verdana"/>
          <w:sz w:val="20"/>
          <w:vertAlign w:val="superscript"/>
          <w:lang w:val="en-GB"/>
        </w:rPr>
        <w:t>,</w:t>
      </w:r>
      <w:r w:rsidRPr="00E03336">
        <w:rPr>
          <w:rStyle w:val="FootnoteReference"/>
          <w:rFonts w:ascii="Verdana" w:hAnsi="Verdana"/>
          <w:sz w:val="20"/>
        </w:rPr>
        <w:footnoteReference w:id="19"/>
      </w:r>
      <w:r w:rsidRPr="00E03336">
        <w:rPr>
          <w:rFonts w:ascii="Verdana" w:hAnsi="Verdana"/>
          <w:sz w:val="20"/>
          <w:vertAlign w:val="superscript"/>
          <w:lang w:val="en-GB"/>
        </w:rPr>
        <w:t>,</w:t>
      </w:r>
      <w:r w:rsidRPr="00E03336">
        <w:rPr>
          <w:rStyle w:val="FootnoteReference"/>
          <w:rFonts w:ascii="Verdana" w:hAnsi="Verdana"/>
          <w:sz w:val="20"/>
        </w:rPr>
        <w:footnoteReference w:id="20"/>
      </w:r>
      <w:r w:rsidRPr="00E03336">
        <w:rPr>
          <w:rFonts w:ascii="Verdana" w:hAnsi="Verdana"/>
          <w:sz w:val="20"/>
          <w:vertAlign w:val="superscript"/>
          <w:lang w:val="en-GB"/>
        </w:rPr>
        <w:t>,</w:t>
      </w:r>
      <w:r w:rsidRPr="00E03336">
        <w:rPr>
          <w:rStyle w:val="FootnoteReference"/>
          <w:rFonts w:ascii="Verdana" w:hAnsi="Verdana"/>
          <w:sz w:val="20"/>
        </w:rPr>
        <w:footnoteReference w:id="21"/>
      </w:r>
      <w:r w:rsidRPr="00E03336">
        <w:rPr>
          <w:rFonts w:ascii="Verdana" w:hAnsi="Verdana"/>
          <w:sz w:val="20"/>
          <w:vertAlign w:val="superscript"/>
          <w:lang w:val="en-GB"/>
        </w:rPr>
        <w:t>,</w:t>
      </w:r>
      <w:r w:rsidRPr="00E03336">
        <w:rPr>
          <w:rStyle w:val="FootnoteReference"/>
          <w:rFonts w:ascii="Verdana" w:hAnsi="Verdana"/>
          <w:sz w:val="20"/>
        </w:rPr>
        <w:footnoteReference w:id="22"/>
      </w:r>
      <w:r w:rsidRPr="00E03336">
        <w:rPr>
          <w:rFonts w:ascii="Verdana" w:hAnsi="Verdana"/>
          <w:sz w:val="20"/>
          <w:vertAlign w:val="superscript"/>
          <w:lang w:val="en-GB"/>
        </w:rPr>
        <w:t>,</w:t>
      </w:r>
      <w:r w:rsidRPr="00E03336">
        <w:rPr>
          <w:rStyle w:val="FootnoteReference"/>
          <w:rFonts w:ascii="Verdana" w:hAnsi="Verdana"/>
          <w:sz w:val="20"/>
        </w:rPr>
        <w:footnoteReference w:id="23"/>
      </w:r>
      <w:r w:rsidRPr="00E03336">
        <w:rPr>
          <w:rFonts w:ascii="Verdana" w:hAnsi="Verdana"/>
          <w:sz w:val="20"/>
          <w:vertAlign w:val="superscript"/>
          <w:lang w:val="en-GB"/>
        </w:rPr>
        <w:t>,</w:t>
      </w:r>
      <w:r w:rsidRPr="00E03336">
        <w:rPr>
          <w:rStyle w:val="FootnoteReference"/>
          <w:rFonts w:ascii="Verdana" w:hAnsi="Verdana"/>
          <w:sz w:val="20"/>
        </w:rPr>
        <w:footnoteReference w:id="24"/>
      </w:r>
      <w:r w:rsidRPr="00E03336">
        <w:rPr>
          <w:rFonts w:ascii="Verdana" w:hAnsi="Verdana"/>
          <w:sz w:val="20"/>
          <w:vertAlign w:val="superscript"/>
          <w:lang w:val="en-GB"/>
        </w:rPr>
        <w:t>,</w:t>
      </w:r>
      <w:r w:rsidRPr="00E03336">
        <w:rPr>
          <w:rStyle w:val="FootnoteReference"/>
          <w:rFonts w:ascii="Verdana" w:hAnsi="Verdana"/>
          <w:sz w:val="20"/>
        </w:rPr>
        <w:footnoteReference w:id="25"/>
      </w:r>
      <w:r w:rsidRPr="00E03336">
        <w:rPr>
          <w:rFonts w:ascii="Verdana" w:hAnsi="Verdana"/>
          <w:sz w:val="20"/>
          <w:vertAlign w:val="superscript"/>
          <w:lang w:val="en-GB"/>
        </w:rPr>
        <w:t>,</w:t>
      </w:r>
      <w:r w:rsidRPr="00E03336">
        <w:rPr>
          <w:rStyle w:val="FootnoteReference"/>
          <w:rFonts w:ascii="Verdana" w:hAnsi="Verdana"/>
          <w:sz w:val="20"/>
          <w:lang w:val="en-GB"/>
        </w:rPr>
        <w:footnoteReference w:id="26"/>
      </w:r>
      <w:r w:rsidRPr="00E03336">
        <w:rPr>
          <w:rFonts w:ascii="Verdana" w:hAnsi="Verdana"/>
          <w:sz w:val="20"/>
          <w:vertAlign w:val="superscript"/>
          <w:lang w:val="en-GB"/>
        </w:rPr>
        <w:t>,</w:t>
      </w:r>
      <w:r w:rsidRPr="00E03336">
        <w:rPr>
          <w:rStyle w:val="FootnoteReference"/>
          <w:rFonts w:ascii="Verdana" w:hAnsi="Verdana"/>
          <w:sz w:val="20"/>
          <w:lang w:val="en-GB"/>
        </w:rPr>
        <w:footnoteReference w:id="27"/>
      </w:r>
      <w:r w:rsidRPr="00E03336">
        <w:rPr>
          <w:rFonts w:ascii="Verdana" w:hAnsi="Verdana"/>
          <w:lang w:val="en-GB"/>
        </w:rPr>
        <w:t xml:space="preserve"> analyze the </w:t>
      </w:r>
      <w:r w:rsidRPr="00E03336">
        <w:rPr>
          <w:rFonts w:ascii="Verdana" w:hAnsi="Verdana"/>
          <w:b/>
          <w:lang w:val="en-GB"/>
        </w:rPr>
        <w:t>access to and quality of health care for migrants and ethnic minorities</w:t>
      </w:r>
      <w:r w:rsidRPr="00E03336">
        <w:rPr>
          <w:rFonts w:ascii="Verdana" w:hAnsi="Verdana"/>
          <w:lang w:val="en-GB"/>
        </w:rPr>
        <w:t xml:space="preserve"> in the European context. </w:t>
      </w:r>
    </w:p>
    <w:p w:rsidR="000F52F9" w:rsidRPr="00E03336" w:rsidRDefault="000F52F9" w:rsidP="0065426E">
      <w:pPr>
        <w:jc w:val="both"/>
        <w:rPr>
          <w:rFonts w:ascii="Verdana" w:hAnsi="Verdana"/>
          <w:lang w:val="en-GB"/>
        </w:rPr>
      </w:pPr>
      <w:r w:rsidRPr="00E03336">
        <w:rPr>
          <w:rFonts w:ascii="Verdana" w:hAnsi="Verdana"/>
          <w:lang w:val="en-GB"/>
        </w:rPr>
        <w:t xml:space="preserve">With respect to </w:t>
      </w:r>
      <w:r w:rsidRPr="00E03336">
        <w:rPr>
          <w:rFonts w:ascii="Verdana" w:hAnsi="Verdana"/>
          <w:b/>
          <w:lang w:val="en-GB"/>
        </w:rPr>
        <w:t xml:space="preserve">migrants, </w:t>
      </w:r>
      <w:r w:rsidRPr="00E03336">
        <w:rPr>
          <w:rFonts w:ascii="Verdana" w:hAnsi="Verdana"/>
          <w:lang w:val="en-GB"/>
        </w:rPr>
        <w:t xml:space="preserve">they observe an uneven situation regarding health care entitlements across Europe, detecting a frequent limitation of access to public health care in the case of migrants in an irregularized situation. Furthermore, they detect cultural, linguistic and administrative barriers to effective access to health care, a lower quality of health care than perceived by the general population, as well as experiences of discrimination in health care. </w:t>
      </w:r>
    </w:p>
    <w:p w:rsidR="000F52F9" w:rsidRPr="00E03336" w:rsidRDefault="000F52F9" w:rsidP="0065426E">
      <w:pPr>
        <w:jc w:val="both"/>
        <w:rPr>
          <w:rFonts w:ascii="Verdana" w:hAnsi="Verdana"/>
          <w:lang w:val="en-GB"/>
        </w:rPr>
      </w:pPr>
    </w:p>
    <w:p w:rsidR="000F52F9" w:rsidRPr="00E03336" w:rsidRDefault="000F52F9" w:rsidP="0065426E">
      <w:pPr>
        <w:jc w:val="both"/>
        <w:rPr>
          <w:rFonts w:ascii="Verdana" w:hAnsi="Verdana"/>
          <w:lang w:val="en-GB"/>
        </w:rPr>
      </w:pPr>
      <w:r w:rsidRPr="00E03336">
        <w:rPr>
          <w:rFonts w:ascii="Verdana" w:hAnsi="Verdana"/>
          <w:lang w:val="en-GB"/>
        </w:rPr>
        <w:t xml:space="preserve">In the case of </w:t>
      </w:r>
      <w:r w:rsidRPr="00E03336">
        <w:rPr>
          <w:rFonts w:ascii="Verdana" w:hAnsi="Verdana"/>
          <w:b/>
          <w:lang w:val="en-GB"/>
        </w:rPr>
        <w:t>ethnic minorities,</w:t>
      </w:r>
      <w:r w:rsidRPr="00E03336">
        <w:rPr>
          <w:rFonts w:ascii="Verdana" w:hAnsi="Verdana"/>
          <w:lang w:val="en-GB"/>
        </w:rPr>
        <w:t xml:space="preserve"> including Roma population, the presence of cultural and administrative barriers in the effective access to health care is stated, as well as a lower perception of quality of care in comparison to the general population, and experiences of discrimination in health care. </w:t>
      </w:r>
    </w:p>
    <w:p w:rsidR="000F52F9" w:rsidRPr="00E03336" w:rsidRDefault="000F52F9" w:rsidP="0065426E">
      <w:pPr>
        <w:jc w:val="both"/>
        <w:rPr>
          <w:rFonts w:ascii="Verdana" w:hAnsi="Verdana"/>
          <w:lang w:val="en-GB"/>
        </w:rPr>
      </w:pPr>
    </w:p>
    <w:p w:rsidR="000F52F9" w:rsidRPr="00E03336" w:rsidRDefault="000F52F9" w:rsidP="00A90044">
      <w:pPr>
        <w:jc w:val="both"/>
        <w:rPr>
          <w:rFonts w:ascii="Verdana" w:hAnsi="Verdana"/>
          <w:lang w:val="en-GB"/>
        </w:rPr>
      </w:pPr>
      <w:r w:rsidRPr="00E03336">
        <w:rPr>
          <w:rFonts w:ascii="Verdana" w:hAnsi="Verdana"/>
          <w:b/>
          <w:lang w:val="en-GB"/>
        </w:rPr>
        <w:t xml:space="preserve">Slide 7: </w:t>
      </w:r>
      <w:r w:rsidRPr="00E03336">
        <w:rPr>
          <w:rFonts w:ascii="Verdana" w:hAnsi="Verdana"/>
          <w:lang w:val="en-GB"/>
        </w:rPr>
        <w:t xml:space="preserve">As </w:t>
      </w:r>
      <w:r w:rsidRPr="00E03336">
        <w:rPr>
          <w:rFonts w:ascii="Verdana" w:hAnsi="Verdana"/>
          <w:b/>
          <w:lang w:val="en-GB"/>
        </w:rPr>
        <w:t>strategies for reducing barriers to health care for migrants and ethnic minorities</w:t>
      </w:r>
      <w:r w:rsidRPr="00E03336">
        <w:rPr>
          <w:rFonts w:ascii="Verdana" w:hAnsi="Verdana"/>
          <w:lang w:val="en-GB"/>
        </w:rPr>
        <w:t>, the following have been identified: entitlements to state-covered health care, intercultural competence or sensitivity to diversity, patient-centeredness, written information materials in different languages, including the use of pictograms, availability of professional interpreters or bilingual professionals, intercultural mediation and community participation</w:t>
      </w:r>
      <w:r w:rsidRPr="00E03336">
        <w:rPr>
          <w:rStyle w:val="FootnoteReference"/>
          <w:rFonts w:ascii="Verdana" w:hAnsi="Verdana"/>
          <w:lang w:val="en-GB"/>
        </w:rPr>
        <w:t xml:space="preserve"> </w:t>
      </w:r>
      <w:r w:rsidRPr="00E03336">
        <w:rPr>
          <w:rStyle w:val="FootnoteReference"/>
          <w:rFonts w:ascii="Verdana" w:hAnsi="Verdana"/>
          <w:lang w:val="en-GB"/>
        </w:rPr>
        <w:footnoteReference w:id="28"/>
      </w:r>
      <w:r w:rsidRPr="00E03336">
        <w:rPr>
          <w:rFonts w:ascii="Verdana" w:hAnsi="Verdana"/>
          <w:szCs w:val="22"/>
          <w:vertAlign w:val="superscript"/>
          <w:lang w:val="en-GB"/>
        </w:rPr>
        <w:t>,</w:t>
      </w:r>
      <w:r w:rsidRPr="00E03336">
        <w:rPr>
          <w:rStyle w:val="FootnoteReference"/>
          <w:rFonts w:ascii="Verdana" w:hAnsi="Verdana"/>
          <w:szCs w:val="22"/>
          <w:lang w:val="en-GB"/>
        </w:rPr>
        <w:footnoteReference w:id="29"/>
      </w:r>
      <w:r w:rsidRPr="00E03336">
        <w:rPr>
          <w:rFonts w:ascii="Verdana" w:hAnsi="Verdana"/>
          <w:lang w:val="en-GB"/>
        </w:rPr>
        <w:t xml:space="preserve">. </w:t>
      </w:r>
    </w:p>
    <w:p w:rsidR="000F52F9" w:rsidRPr="00E03336" w:rsidRDefault="000F52F9" w:rsidP="00A90044">
      <w:pPr>
        <w:jc w:val="both"/>
        <w:rPr>
          <w:rFonts w:ascii="Verdana" w:hAnsi="Verdana"/>
          <w:b/>
          <w:lang w:val="en-GB"/>
        </w:rPr>
      </w:pPr>
    </w:p>
    <w:p w:rsidR="000F52F9" w:rsidRPr="00E03336" w:rsidRDefault="000F52F9" w:rsidP="00A90044">
      <w:pPr>
        <w:jc w:val="both"/>
        <w:rPr>
          <w:rFonts w:ascii="Verdana" w:hAnsi="Verdana"/>
          <w:b/>
          <w:i/>
          <w:lang w:val="en-GB"/>
        </w:rPr>
      </w:pPr>
      <w:r w:rsidRPr="00E03336">
        <w:rPr>
          <w:rFonts w:ascii="Verdana" w:hAnsi="Verdana"/>
          <w:i/>
          <w:color w:val="008080"/>
          <w:szCs w:val="22"/>
          <w:lang w:val="en-GB"/>
        </w:rPr>
        <w:t>European projects related to strategies for reducing barriers to health care access for migrants, ethnic minorities and other population groups in situation of social vulnerability can be consulted in M4_U4_Additional_Material.</w:t>
      </w:r>
    </w:p>
    <w:p w:rsidR="000F52F9" w:rsidRPr="00E03336" w:rsidRDefault="000F52F9" w:rsidP="00A90044">
      <w:pPr>
        <w:jc w:val="both"/>
        <w:rPr>
          <w:rFonts w:ascii="Verdana" w:hAnsi="Verdana"/>
          <w:b/>
          <w:lang w:val="en-GB"/>
        </w:rPr>
      </w:pPr>
    </w:p>
    <w:p w:rsidR="000F52F9" w:rsidRPr="00E03336" w:rsidRDefault="000F52F9" w:rsidP="008F49D8">
      <w:pPr>
        <w:jc w:val="both"/>
        <w:rPr>
          <w:rFonts w:ascii="Verdana" w:hAnsi="Verdana"/>
          <w:lang w:val="en-GB"/>
        </w:rPr>
      </w:pPr>
      <w:r w:rsidRPr="00E03336">
        <w:rPr>
          <w:rFonts w:ascii="Verdana" w:hAnsi="Verdana"/>
          <w:b/>
          <w:lang w:val="en-GB"/>
        </w:rPr>
        <w:t xml:space="preserve">Slide 8:  </w:t>
      </w:r>
      <w:r w:rsidRPr="00E03336">
        <w:rPr>
          <w:rFonts w:ascii="Verdana" w:hAnsi="Verdana"/>
          <w:lang w:val="en-GB"/>
        </w:rPr>
        <w:t>A specific situation can be observed in migration detention centers, with limited access to health care and insufficient quality of health care being stated</w:t>
      </w:r>
      <w:r w:rsidRPr="00E03336">
        <w:rPr>
          <w:rStyle w:val="FootnoteReference"/>
          <w:rFonts w:ascii="Verdana" w:hAnsi="Verdana"/>
          <w:lang w:val="en-GB"/>
        </w:rPr>
        <w:footnoteReference w:id="30"/>
      </w:r>
      <w:r w:rsidRPr="00E03336">
        <w:rPr>
          <w:rFonts w:ascii="Verdana" w:hAnsi="Verdana"/>
          <w:vertAlign w:val="superscript"/>
          <w:lang w:val="en-GB"/>
        </w:rPr>
        <w:t>,</w:t>
      </w:r>
      <w:r w:rsidRPr="00E03336">
        <w:rPr>
          <w:rStyle w:val="FootnoteReference"/>
          <w:rFonts w:ascii="Verdana" w:hAnsi="Verdana"/>
          <w:lang w:val="en-GB"/>
        </w:rPr>
        <w:footnoteReference w:id="31"/>
      </w:r>
      <w:r w:rsidRPr="00E03336">
        <w:rPr>
          <w:rFonts w:ascii="Verdana" w:hAnsi="Verdana"/>
          <w:vertAlign w:val="superscript"/>
          <w:lang w:val="en-GB"/>
        </w:rPr>
        <w:t>,</w:t>
      </w:r>
      <w:r w:rsidRPr="00E03336">
        <w:rPr>
          <w:rStyle w:val="FootnoteReference"/>
          <w:rFonts w:ascii="Verdana" w:hAnsi="Verdana"/>
          <w:lang w:val="en-GB"/>
        </w:rPr>
        <w:footnoteReference w:id="32"/>
      </w:r>
      <w:r w:rsidRPr="00E03336">
        <w:rPr>
          <w:rFonts w:ascii="Verdana" w:hAnsi="Verdana"/>
          <w:lang w:val="en-GB"/>
        </w:rPr>
        <w:t xml:space="preserve">. According to the reviewed reports, available health care is often provided by subcontracted health care providers or NGOs. Furthermore, experiences of discrimination and ill-treatment by health care providers are reported. In the studies, several health risks are identified during the stay in the detention centres, among them the precarious living conditions, the lack of adequate healing, a frequent situation of overcrowding, as well as incidences of physical or psychological violence committed by the staff or other inmates. </w:t>
      </w:r>
    </w:p>
    <w:p w:rsidR="000F52F9" w:rsidRPr="00E03336" w:rsidRDefault="000F52F9" w:rsidP="008F49D8">
      <w:pPr>
        <w:jc w:val="both"/>
        <w:rPr>
          <w:rFonts w:ascii="Verdana" w:hAnsi="Verdana"/>
          <w:lang w:val="en-GB"/>
        </w:rPr>
      </w:pPr>
    </w:p>
    <w:p w:rsidR="000F52F9" w:rsidRPr="00E03336" w:rsidRDefault="000F52F9" w:rsidP="008F49D8">
      <w:pPr>
        <w:jc w:val="both"/>
        <w:rPr>
          <w:rFonts w:ascii="Verdana" w:hAnsi="Verdana"/>
          <w:lang w:val="en-GB"/>
        </w:rPr>
      </w:pPr>
      <w:r w:rsidRPr="00E03336">
        <w:rPr>
          <w:rFonts w:ascii="Verdana" w:hAnsi="Verdana"/>
          <w:lang w:val="en-GB"/>
        </w:rPr>
        <w:t>These observations are confirmed by reports of the Special Rapporteur on the human rights of migrants</w:t>
      </w:r>
      <w:r w:rsidRPr="00E03336">
        <w:rPr>
          <w:rStyle w:val="FootnoteReference"/>
          <w:rFonts w:ascii="Verdana" w:hAnsi="Verdana"/>
          <w:lang w:val="en-GB"/>
        </w:rPr>
        <w:footnoteReference w:id="33"/>
      </w:r>
      <w:r w:rsidRPr="00E03336">
        <w:rPr>
          <w:rFonts w:ascii="Verdana" w:hAnsi="Verdana"/>
          <w:vertAlign w:val="superscript"/>
          <w:lang w:val="en-GB"/>
        </w:rPr>
        <w:t xml:space="preserve">, </w:t>
      </w:r>
      <w:r w:rsidRPr="00E03336">
        <w:rPr>
          <w:rStyle w:val="FootnoteReference"/>
          <w:rFonts w:ascii="Verdana" w:hAnsi="Verdana"/>
          <w:lang w:val="en-GB"/>
        </w:rPr>
        <w:footnoteReference w:id="34"/>
      </w:r>
      <w:r w:rsidRPr="00E03336">
        <w:rPr>
          <w:rFonts w:ascii="Verdana" w:hAnsi="Verdana"/>
          <w:lang w:val="en-GB"/>
        </w:rPr>
        <w:t xml:space="preserve"> and the Committee on Civil Liberties of the European Parliament</w:t>
      </w:r>
      <w:r w:rsidRPr="00E03336">
        <w:rPr>
          <w:rStyle w:val="FootnoteReference"/>
          <w:rFonts w:ascii="Verdana" w:hAnsi="Verdana"/>
          <w:lang w:val="en-GB"/>
        </w:rPr>
        <w:footnoteReference w:id="35"/>
      </w:r>
      <w:r w:rsidRPr="00E03336">
        <w:rPr>
          <w:rFonts w:ascii="Verdana" w:hAnsi="Verdana"/>
          <w:lang w:val="en-GB"/>
        </w:rPr>
        <w:t xml:space="preserve">. </w:t>
      </w:r>
    </w:p>
    <w:p w:rsidR="000F52F9" w:rsidRPr="00E03336" w:rsidRDefault="000F52F9" w:rsidP="008F49D8">
      <w:pPr>
        <w:jc w:val="both"/>
        <w:rPr>
          <w:rFonts w:ascii="Verdana" w:hAnsi="Verdana"/>
          <w:lang w:val="en-GB"/>
        </w:rPr>
      </w:pPr>
    </w:p>
    <w:p w:rsidR="000F52F9" w:rsidRPr="00E03336" w:rsidRDefault="000F52F9" w:rsidP="008F49D8">
      <w:pPr>
        <w:jc w:val="both"/>
        <w:rPr>
          <w:rFonts w:ascii="Verdana" w:hAnsi="Verdana"/>
          <w:lang w:val="en-GB"/>
        </w:rPr>
      </w:pPr>
      <w:r w:rsidRPr="00E03336">
        <w:rPr>
          <w:rFonts w:ascii="Verdana" w:hAnsi="Verdana"/>
          <w:b/>
          <w:lang w:val="en-GB"/>
        </w:rPr>
        <w:t>Slide 9:</w:t>
      </w:r>
      <w:r w:rsidRPr="00E03336">
        <w:rPr>
          <w:rFonts w:ascii="Verdana" w:hAnsi="Verdana"/>
          <w:lang w:val="en-GB"/>
        </w:rPr>
        <w:t xml:space="preserve"> The Council of Europe Resolution 1701(2010) </w:t>
      </w:r>
      <w:r w:rsidRPr="00E03336">
        <w:rPr>
          <w:rFonts w:ascii="Verdana" w:hAnsi="Verdana"/>
          <w:i/>
          <w:lang w:val="en-GB"/>
        </w:rPr>
        <w:t>Detention of asylum seekers and irregular migrants in Europe</w:t>
      </w:r>
      <w:r w:rsidRPr="00E03336">
        <w:rPr>
          <w:rStyle w:val="FootnoteReference"/>
          <w:rFonts w:ascii="Verdana" w:hAnsi="Verdana"/>
          <w:i/>
          <w:lang w:val="en-GB"/>
        </w:rPr>
        <w:footnoteReference w:id="36"/>
      </w:r>
      <w:r w:rsidRPr="00E03336">
        <w:rPr>
          <w:rFonts w:ascii="Verdana" w:hAnsi="Verdana"/>
          <w:lang w:val="en-GB"/>
        </w:rPr>
        <w:t xml:space="preserve">, establishes detention of asylum seekers and migrants in an ‘irregular situation’ to be considered as an exception. Minimum standards regarding conditions of detention for migrants and asylum seekers should be established, including a guarantee of dignity and respect of Human Rights, access to information, appropriate material conditions, protection of their health and well-being, access to legal advice, protection of safety and availability of complaint procedures.  Independent inspection and monitoring should take place. Furthermore, the resolution highlights that detention authorities should ¡alternatives for detention. </w:t>
      </w:r>
    </w:p>
    <w:p w:rsidR="000F52F9" w:rsidRPr="00E03336" w:rsidRDefault="000F52F9" w:rsidP="005D4315">
      <w:pPr>
        <w:jc w:val="both"/>
        <w:rPr>
          <w:rFonts w:ascii="Verdana" w:hAnsi="Verdana"/>
          <w:lang w:val="en-GB"/>
        </w:rPr>
      </w:pPr>
      <w:r w:rsidRPr="00E03336">
        <w:rPr>
          <w:rFonts w:ascii="Verdana" w:hAnsi="Verdana"/>
          <w:b/>
          <w:lang w:val="en-GB"/>
        </w:rPr>
        <w:t>Slide 10: Quality assessment</w:t>
      </w:r>
      <w:r w:rsidRPr="00E03336">
        <w:rPr>
          <w:rFonts w:ascii="Verdana" w:hAnsi="Verdana"/>
          <w:lang w:val="en-GB"/>
        </w:rPr>
        <w:t xml:space="preserve"> constitutes a relevant step of the interventions oriented towards cultural and ethnic diversity. Recent studies</w:t>
      </w:r>
      <w:r w:rsidRPr="00E03336">
        <w:rPr>
          <w:rStyle w:val="FootnoteReference"/>
          <w:rFonts w:ascii="Verdana" w:hAnsi="Verdana"/>
          <w:lang w:val="en-GB"/>
        </w:rPr>
        <w:footnoteReference w:id="37"/>
      </w:r>
      <w:r w:rsidRPr="00E03336">
        <w:rPr>
          <w:rFonts w:ascii="Verdana" w:hAnsi="Verdana"/>
          <w:szCs w:val="22"/>
          <w:vertAlign w:val="superscript"/>
          <w:lang w:val="en-GB"/>
        </w:rPr>
        <w:t>,</w:t>
      </w:r>
      <w:r w:rsidRPr="00E03336">
        <w:rPr>
          <w:rStyle w:val="FootnoteReference"/>
          <w:rFonts w:ascii="Verdana" w:hAnsi="Verdana"/>
          <w:szCs w:val="22"/>
          <w:lang w:val="en-GB"/>
        </w:rPr>
        <w:footnoteReference w:id="38"/>
      </w:r>
      <w:r w:rsidRPr="00E03336">
        <w:rPr>
          <w:rFonts w:ascii="Verdana" w:hAnsi="Verdana"/>
          <w:lang w:val="en-GB"/>
        </w:rPr>
        <w:t xml:space="preserve"> identify a frequent absence of intervention assessment, producing a lack of awareness regarding limitations of the project in terms of acceptability, cost-efficacy and sustainability. Furthermore, differentiated outcomes according to the assessment methodology can be observed, as well as a lack of implementation and evaluation of existing assessment tools.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lang w:val="en-GB"/>
        </w:rPr>
        <w:t xml:space="preserve">Different </w:t>
      </w:r>
      <w:r w:rsidRPr="00E03336">
        <w:rPr>
          <w:rFonts w:ascii="Verdana" w:hAnsi="Verdana"/>
          <w:b/>
          <w:lang w:val="en-GB"/>
        </w:rPr>
        <w:t xml:space="preserve">quality assessment methods oriented to cultural and ethnic diversity-sensitive health care and health policies </w:t>
      </w:r>
      <w:r w:rsidRPr="00E03336">
        <w:rPr>
          <w:rFonts w:ascii="Verdana" w:hAnsi="Verdana"/>
          <w:lang w:val="en-GB"/>
        </w:rPr>
        <w:t xml:space="preserve">have been developed, among them the model of Health Impact Assessment (HIA), qualitative assessment methodologies, as well as participative assessment approaches.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i/>
          <w:color w:val="008080"/>
          <w:szCs w:val="22"/>
          <w:lang w:val="en-GB"/>
        </w:rPr>
        <w:t xml:space="preserve">In the following slides, the quoted quality assessment methods are described more in detail. We suggest you to select those quality assessment methods that are relevant in your specific context, explain them more in detail, add country-specific examples, and close the presentation with slide 20 (Limitations and Challenges of Quality Assessment).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b/>
          <w:lang w:val="en-GB"/>
        </w:rPr>
        <w:t xml:space="preserve">Slide 11: </w:t>
      </w:r>
      <w:r w:rsidRPr="00E03336">
        <w:rPr>
          <w:rFonts w:ascii="Verdana" w:hAnsi="Verdana"/>
          <w:lang w:val="en-GB"/>
        </w:rPr>
        <w:t xml:space="preserve">With respect to </w:t>
      </w:r>
      <w:r w:rsidRPr="00E03336">
        <w:rPr>
          <w:rFonts w:ascii="Verdana" w:hAnsi="Verdana"/>
          <w:b/>
          <w:lang w:val="en-GB"/>
        </w:rPr>
        <w:t xml:space="preserve">Health Impact Assessment, </w:t>
      </w:r>
      <w:r w:rsidRPr="00E03336">
        <w:rPr>
          <w:rFonts w:ascii="Verdana" w:hAnsi="Verdana"/>
          <w:lang w:val="en-GB"/>
        </w:rPr>
        <w:t>an application of the model to health care oriented towards cultural and ethnic diversity can be observed</w:t>
      </w:r>
      <w:r w:rsidRPr="00E03336">
        <w:rPr>
          <w:rStyle w:val="FootnoteReference"/>
          <w:rFonts w:ascii="Verdana" w:hAnsi="Verdana"/>
          <w:lang w:val="en-GB"/>
        </w:rPr>
        <w:footnoteReference w:id="39"/>
      </w:r>
      <w:r w:rsidRPr="00E03336">
        <w:rPr>
          <w:rFonts w:ascii="Verdana" w:hAnsi="Verdana"/>
          <w:lang w:val="en-GB"/>
        </w:rPr>
        <w:t xml:space="preserve">.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According to IAIA, International Association for Impact Assessment</w:t>
      </w:r>
      <w:r w:rsidRPr="00E03336">
        <w:rPr>
          <w:rStyle w:val="FootnoteReference"/>
          <w:rFonts w:ascii="Verdana" w:hAnsi="Verdana"/>
          <w:color w:val="333333"/>
          <w:szCs w:val="22"/>
          <w:shd w:val="clear" w:color="auto" w:fill="FFFFFF"/>
        </w:rPr>
        <w:footnoteReference w:id="40"/>
      </w:r>
      <w:r w:rsidRPr="00E03336">
        <w:rPr>
          <w:rFonts w:ascii="Verdana" w:hAnsi="Verdana"/>
          <w:color w:val="333333"/>
          <w:szCs w:val="22"/>
          <w:shd w:val="clear" w:color="auto" w:fill="FFFFFF"/>
          <w:lang w:val="en-GB"/>
        </w:rPr>
        <w:t xml:space="preserve">, HIA focus on the analysis of the impact of health policies on individual, social, environmental and institutional determinants of health. </w:t>
      </w:r>
    </w:p>
    <w:p w:rsidR="000F52F9" w:rsidRPr="00E03336" w:rsidRDefault="000F52F9" w:rsidP="00462F92">
      <w:pPr>
        <w:jc w:val="both"/>
        <w:rPr>
          <w:rFonts w:ascii="Verdana" w:hAnsi="Verdana"/>
          <w:color w:val="333333"/>
          <w:szCs w:val="22"/>
          <w:shd w:val="clear" w:color="auto" w:fill="FFFFFF"/>
          <w:lang w:val="en-GB"/>
        </w:rPr>
      </w:pPr>
    </w:p>
    <w:p w:rsidR="000F52F9" w:rsidRPr="00E03336" w:rsidRDefault="000F52F9"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 xml:space="preserve">As </w:t>
      </w:r>
      <w:r w:rsidRPr="00E03336">
        <w:rPr>
          <w:rFonts w:ascii="Verdana" w:hAnsi="Verdana"/>
          <w:b/>
          <w:color w:val="333333"/>
          <w:szCs w:val="22"/>
          <w:shd w:val="clear" w:color="auto" w:fill="FFFFFF"/>
          <w:lang w:val="en-GB"/>
        </w:rPr>
        <w:t>guiding principles</w:t>
      </w:r>
      <w:r w:rsidRPr="00E03336">
        <w:rPr>
          <w:rFonts w:ascii="Verdana" w:hAnsi="Verdana"/>
          <w:color w:val="333333"/>
          <w:szCs w:val="22"/>
          <w:shd w:val="clear" w:color="auto" w:fill="FFFFFF"/>
          <w:lang w:val="en-GB"/>
        </w:rPr>
        <w:t xml:space="preserve">, the following aspects are identified: democracy, equity, sustainable development, ethical use of evidence, as well as a comprehensive approach to health. </w:t>
      </w:r>
    </w:p>
    <w:p w:rsidR="000F52F9" w:rsidRPr="00E03336" w:rsidRDefault="000F52F9" w:rsidP="00462F92">
      <w:pPr>
        <w:jc w:val="both"/>
        <w:rPr>
          <w:rFonts w:ascii="Verdana" w:hAnsi="Verdana"/>
          <w:color w:val="333333"/>
          <w:szCs w:val="22"/>
          <w:shd w:val="clear" w:color="auto" w:fill="FFFFFF"/>
          <w:lang w:val="en-GB"/>
        </w:rPr>
      </w:pPr>
    </w:p>
    <w:p w:rsidR="000F52F9" w:rsidRPr="00E03336" w:rsidRDefault="000F52F9" w:rsidP="002F1CC0">
      <w:pPr>
        <w:jc w:val="both"/>
        <w:rPr>
          <w:rFonts w:ascii="Verdana" w:hAnsi="Verdana"/>
          <w:i/>
          <w:color w:val="333333"/>
          <w:szCs w:val="22"/>
          <w:shd w:val="clear" w:color="auto" w:fill="FFFFFF"/>
          <w:lang w:val="en-GB"/>
        </w:rPr>
      </w:pPr>
      <w:r w:rsidRPr="00E03336">
        <w:rPr>
          <w:rFonts w:ascii="Verdana" w:hAnsi="Verdana"/>
          <w:lang w:val="en-GB"/>
        </w:rPr>
        <w:t xml:space="preserve">WHO, World Health Organization defines Health Impact Assessment as follows: </w:t>
      </w:r>
      <w:r w:rsidRPr="00E03336">
        <w:rPr>
          <w:rFonts w:ascii="Verdana" w:hAnsi="Verdana"/>
          <w:i/>
          <w:lang w:val="en-GB"/>
        </w:rPr>
        <w:t>“</w:t>
      </w:r>
      <w:r w:rsidRPr="00E03336">
        <w:rPr>
          <w:rFonts w:ascii="Verdana" w:hAnsi="Verdana"/>
          <w:i/>
          <w:color w:val="333333"/>
          <w:szCs w:val="22"/>
          <w:shd w:val="clear" w:color="auto" w:fill="FFFFFF"/>
          <w:lang w:val="en-GB"/>
        </w:rPr>
        <w:t>HIA is a practical approach used to judge the potential health effects of a policy, programme or project on a population, particularly on vulnerable or disadvantaged groups. Recommendations are produced for decision-makers and stakeholders, with the aim of maximising the proposal's positive health effects and minimising its negative health effects”</w:t>
      </w:r>
      <w:r w:rsidRPr="00E03336">
        <w:rPr>
          <w:rStyle w:val="FootnoteReference"/>
          <w:rFonts w:ascii="Verdana" w:hAnsi="Verdana"/>
          <w:lang w:val="en-GB"/>
        </w:rPr>
        <w:t xml:space="preserve"> </w:t>
      </w:r>
      <w:r w:rsidRPr="00E03336">
        <w:rPr>
          <w:rStyle w:val="FootnoteReference"/>
          <w:rFonts w:ascii="Verdana" w:hAnsi="Verdana"/>
          <w:i/>
          <w:lang w:val="en-GB"/>
        </w:rPr>
        <w:footnoteReference w:id="41"/>
      </w:r>
      <w:r w:rsidRPr="00E03336">
        <w:rPr>
          <w:rFonts w:ascii="Verdana" w:hAnsi="Verdana"/>
          <w:i/>
          <w:color w:val="333333"/>
          <w:szCs w:val="22"/>
          <w:shd w:val="clear" w:color="auto" w:fill="FFFFFF"/>
          <w:lang w:val="en-GB"/>
        </w:rPr>
        <w:t xml:space="preserve">. </w:t>
      </w:r>
    </w:p>
    <w:p w:rsidR="000F52F9" w:rsidRPr="00E03336" w:rsidRDefault="000F52F9" w:rsidP="002F1CC0">
      <w:pPr>
        <w:jc w:val="both"/>
        <w:rPr>
          <w:rFonts w:ascii="Verdana" w:hAnsi="Verdana"/>
          <w:color w:val="333333"/>
          <w:szCs w:val="22"/>
          <w:shd w:val="clear" w:color="auto" w:fill="FFFFFF"/>
          <w:lang w:val="en-GB"/>
        </w:rPr>
      </w:pPr>
    </w:p>
    <w:p w:rsidR="000F52F9" w:rsidRPr="00E03336" w:rsidRDefault="000F52F9" w:rsidP="00462F92">
      <w:pPr>
        <w:jc w:val="both"/>
        <w:rPr>
          <w:rFonts w:ascii="Verdana" w:hAnsi="Verdana"/>
          <w:color w:val="333333"/>
          <w:szCs w:val="22"/>
          <w:shd w:val="clear" w:color="auto" w:fill="FFFFFF"/>
          <w:lang w:val="en-GB"/>
        </w:rPr>
      </w:pPr>
    </w:p>
    <w:p w:rsidR="000F52F9" w:rsidRPr="00E03336" w:rsidRDefault="000F52F9" w:rsidP="00462F92">
      <w:pPr>
        <w:jc w:val="both"/>
        <w:rPr>
          <w:rFonts w:ascii="Verdana" w:hAnsi="Verdana"/>
          <w:color w:val="333333"/>
          <w:szCs w:val="22"/>
          <w:shd w:val="clear" w:color="auto" w:fill="FFFFFF"/>
          <w:lang w:val="en-GB"/>
        </w:rPr>
      </w:pPr>
      <w:r w:rsidRPr="00E03336">
        <w:rPr>
          <w:rFonts w:ascii="Verdana" w:hAnsi="Verdana"/>
          <w:b/>
          <w:color w:val="333333"/>
          <w:szCs w:val="22"/>
          <w:shd w:val="clear" w:color="auto" w:fill="FFFFFF"/>
          <w:lang w:val="en-GB"/>
        </w:rPr>
        <w:t xml:space="preserve">Slide 12: </w:t>
      </w:r>
      <w:r w:rsidRPr="00E03336">
        <w:rPr>
          <w:rFonts w:ascii="Verdana" w:hAnsi="Verdana"/>
          <w:color w:val="333333"/>
          <w:szCs w:val="22"/>
          <w:shd w:val="clear" w:color="auto" w:fill="FFFFFF"/>
          <w:lang w:val="en-GB"/>
        </w:rPr>
        <w:t xml:space="preserve">Furthermore, IAIA establishes the following </w:t>
      </w:r>
      <w:r w:rsidRPr="00E03336">
        <w:rPr>
          <w:rFonts w:ascii="Verdana" w:hAnsi="Verdana"/>
          <w:b/>
          <w:color w:val="333333"/>
          <w:szCs w:val="22"/>
          <w:shd w:val="clear" w:color="auto" w:fill="FFFFFF"/>
          <w:lang w:val="en-GB"/>
        </w:rPr>
        <w:t>operating principles</w:t>
      </w:r>
      <w:r w:rsidRPr="00E03336">
        <w:rPr>
          <w:rFonts w:ascii="Verdana" w:hAnsi="Verdana"/>
          <w:color w:val="333333"/>
          <w:szCs w:val="22"/>
          <w:shd w:val="clear" w:color="auto" w:fill="FFFFFF"/>
          <w:lang w:val="en-GB"/>
        </w:rPr>
        <w:t xml:space="preserve"> for a HIA process:</w:t>
      </w:r>
    </w:p>
    <w:p w:rsidR="000F52F9" w:rsidRPr="00E03336" w:rsidRDefault="000F52F9" w:rsidP="00462F92">
      <w:pPr>
        <w:jc w:val="both"/>
        <w:rPr>
          <w:rFonts w:ascii="Verdana" w:hAnsi="Verdana"/>
          <w:color w:val="333333"/>
          <w:szCs w:val="22"/>
          <w:shd w:val="clear" w:color="auto" w:fill="FFFFFF"/>
          <w:lang w:val="en-GB"/>
        </w:rPr>
      </w:pP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1. Screening: deciding what scale, if any, HIA is required (desk exercise by ministry/authority).</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2. Scoping: setting the boundaries in time and space for the assessment and formulating TOR for a full scale HIA accordingly (usually by MOH (central, province and/or district) and key stakeholders).</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3. Full scale HIA (by HIA team according to specifications in TOR).</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4. Public engagement and dialogue (initiated by MOH or other relevant authority).</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5. Appraisal of the HIA report (compliance with TOR, quality control of independent criteria) and the feasibility/soundness/ acceptability of its recommendations (MOH or another MOH assigned independent consultant).</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6. Establishment of a framework for intersectoral action (MOH and relevant ministries).</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7. Negotiation of resource allocations for health safeguard measures (Ministry of Finance and relevant ministries).</w:t>
      </w:r>
    </w:p>
    <w:p w:rsidR="000F52F9" w:rsidRPr="00E03336" w:rsidRDefault="000F52F9"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8. Monitoring (of compliance and of pertinent health indicators), evaluation and appropriate follow-up (MOH and line ministries).</w:t>
      </w:r>
      <w:r w:rsidRPr="00E03336">
        <w:rPr>
          <w:rStyle w:val="FootnoteReference"/>
          <w:rFonts w:ascii="Verdana" w:hAnsi="Verdana"/>
          <w:color w:val="333333"/>
          <w:szCs w:val="22"/>
          <w:shd w:val="clear" w:color="auto" w:fill="FFFFFF"/>
          <w:lang w:val="en-GB"/>
        </w:rPr>
        <w:t xml:space="preserve"> </w:t>
      </w:r>
      <w:r w:rsidRPr="00E03336">
        <w:rPr>
          <w:rStyle w:val="FootnoteReference"/>
          <w:rFonts w:ascii="Verdana" w:hAnsi="Verdana"/>
          <w:color w:val="333333"/>
          <w:szCs w:val="22"/>
          <w:shd w:val="clear" w:color="auto" w:fill="FFFFFF"/>
        </w:rPr>
        <w:footnoteReference w:id="42"/>
      </w:r>
    </w:p>
    <w:p w:rsidR="000F52F9" w:rsidRPr="00E03336" w:rsidRDefault="000F52F9" w:rsidP="00094F01">
      <w:pPr>
        <w:jc w:val="both"/>
        <w:rPr>
          <w:rFonts w:ascii="Verdana" w:hAnsi="Verdana"/>
          <w:color w:val="333333"/>
          <w:szCs w:val="22"/>
          <w:shd w:val="clear" w:color="auto" w:fill="FFFFFF"/>
          <w:lang w:val="en-GB"/>
        </w:rPr>
      </w:pPr>
    </w:p>
    <w:p w:rsidR="000F52F9" w:rsidRPr="00E03336" w:rsidRDefault="000F52F9"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The figure illustrates a simplified version of the HIA process published by WHO</w:t>
      </w:r>
      <w:r w:rsidRPr="00E03336">
        <w:rPr>
          <w:rStyle w:val="FootnoteReference"/>
          <w:rFonts w:ascii="Verdana" w:hAnsi="Verdana"/>
          <w:color w:val="333333"/>
          <w:szCs w:val="22"/>
          <w:shd w:val="clear" w:color="auto" w:fill="FFFFFF"/>
        </w:rPr>
        <w:footnoteReference w:id="43"/>
      </w:r>
      <w:r w:rsidRPr="00E03336">
        <w:rPr>
          <w:rFonts w:ascii="Verdana" w:hAnsi="Verdana"/>
          <w:color w:val="333333"/>
          <w:szCs w:val="22"/>
          <w:shd w:val="clear" w:color="auto" w:fill="FFFFFF"/>
          <w:lang w:val="en-GB"/>
        </w:rPr>
        <w:t>.</w:t>
      </w:r>
    </w:p>
    <w:p w:rsidR="000F52F9" w:rsidRPr="00E03336" w:rsidRDefault="000F52F9" w:rsidP="00462F92">
      <w:pPr>
        <w:jc w:val="both"/>
        <w:rPr>
          <w:rFonts w:ascii="Verdana" w:hAnsi="Verdana"/>
          <w:color w:val="333333"/>
          <w:szCs w:val="22"/>
          <w:shd w:val="clear" w:color="auto" w:fill="FFFFFF"/>
          <w:lang w:val="en-GB"/>
        </w:rPr>
      </w:pPr>
    </w:p>
    <w:p w:rsidR="000F52F9" w:rsidRPr="00E03336" w:rsidRDefault="000F52F9" w:rsidP="00CE503F">
      <w:pPr>
        <w:jc w:val="both"/>
        <w:rPr>
          <w:rFonts w:ascii="Verdana" w:hAnsi="Verdana"/>
          <w:color w:val="333333"/>
          <w:szCs w:val="22"/>
          <w:shd w:val="clear" w:color="auto" w:fill="FFFFFF"/>
          <w:lang w:val="en-GB"/>
        </w:rPr>
      </w:pPr>
      <w:r w:rsidRPr="00E03336">
        <w:rPr>
          <w:rFonts w:ascii="Verdana" w:hAnsi="Verdana"/>
          <w:b/>
          <w:color w:val="333333"/>
          <w:szCs w:val="22"/>
          <w:shd w:val="clear" w:color="auto" w:fill="FFFFFF"/>
          <w:lang w:val="en-GB"/>
        </w:rPr>
        <w:t xml:space="preserve">Slide 13: </w:t>
      </w:r>
      <w:r w:rsidRPr="00E03336">
        <w:rPr>
          <w:rFonts w:ascii="Verdana" w:hAnsi="Verdana"/>
          <w:color w:val="333333"/>
          <w:szCs w:val="22"/>
          <w:shd w:val="clear" w:color="auto" w:fill="FFFFFF"/>
          <w:lang w:val="en-GB"/>
        </w:rPr>
        <w:t xml:space="preserve">As examples of </w:t>
      </w:r>
      <w:r w:rsidRPr="00E03336">
        <w:rPr>
          <w:rFonts w:ascii="Verdana" w:hAnsi="Verdana"/>
          <w:b/>
          <w:color w:val="333333"/>
          <w:szCs w:val="22"/>
          <w:shd w:val="clear" w:color="auto" w:fill="FFFFFF"/>
          <w:lang w:val="en-GB"/>
        </w:rPr>
        <w:t>recent studies applying HIA methodologies to the evaluation of quality of health care oriented towards cultural and ethnic diversity</w:t>
      </w:r>
      <w:r w:rsidRPr="00E03336">
        <w:rPr>
          <w:rFonts w:ascii="Verdana" w:hAnsi="Verdana"/>
          <w:color w:val="333333"/>
          <w:szCs w:val="22"/>
          <w:shd w:val="clear" w:color="auto" w:fill="FFFFFF"/>
          <w:lang w:val="en-GB"/>
        </w:rPr>
        <w:t>, the following two publications can be highlighted:</w:t>
      </w:r>
    </w:p>
    <w:p w:rsidR="000F52F9" w:rsidRPr="00E03336" w:rsidRDefault="000F52F9" w:rsidP="00CE503F">
      <w:pPr>
        <w:numPr>
          <w:ilvl w:val="0"/>
          <w:numId w:val="30"/>
        </w:num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 literature review on the inclusion of migrants in HIA projects, detecting a low rate of active inclusion of migrants in the HIA process</w:t>
      </w:r>
      <w:r w:rsidRPr="00E03336">
        <w:rPr>
          <w:rStyle w:val="FootnoteReference"/>
          <w:rFonts w:ascii="Verdana" w:hAnsi="Verdana"/>
          <w:color w:val="333333"/>
          <w:szCs w:val="22"/>
          <w:shd w:val="clear" w:color="auto" w:fill="FFFFFF"/>
        </w:rPr>
        <w:footnoteReference w:id="44"/>
      </w:r>
      <w:r w:rsidRPr="00E03336">
        <w:rPr>
          <w:rFonts w:ascii="Verdana" w:hAnsi="Verdana"/>
          <w:color w:val="333333"/>
          <w:szCs w:val="22"/>
          <w:shd w:val="clear" w:color="auto" w:fill="FFFFFF"/>
          <w:lang w:val="en-GB"/>
        </w:rPr>
        <w:t xml:space="preserve">. </w:t>
      </w:r>
    </w:p>
    <w:p w:rsidR="000F52F9" w:rsidRPr="00E03336" w:rsidRDefault="000F52F9" w:rsidP="00CE503F">
      <w:pPr>
        <w:numPr>
          <w:ilvl w:val="0"/>
          <w:numId w:val="30"/>
        </w:num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 retrospective health impact assessment of a Roma housing process in Hungary, based on the principles established in the Ottawa Charter</w:t>
      </w:r>
      <w:r w:rsidRPr="00E03336">
        <w:rPr>
          <w:rStyle w:val="FootnoteReference"/>
          <w:rFonts w:ascii="Verdana" w:hAnsi="Verdana"/>
          <w:color w:val="333333"/>
          <w:szCs w:val="22"/>
          <w:shd w:val="clear" w:color="auto" w:fill="FFFFFF"/>
        </w:rPr>
        <w:footnoteReference w:id="45"/>
      </w:r>
      <w:r w:rsidRPr="00E03336">
        <w:rPr>
          <w:rFonts w:ascii="Verdana" w:hAnsi="Verdana"/>
          <w:color w:val="333333"/>
          <w:szCs w:val="22"/>
          <w:shd w:val="clear" w:color="auto" w:fill="FFFFFF"/>
          <w:lang w:val="en-GB"/>
        </w:rPr>
        <w:t xml:space="preserve">. </w:t>
      </w:r>
    </w:p>
    <w:p w:rsidR="000F52F9" w:rsidRPr="00E03336" w:rsidRDefault="000F52F9" w:rsidP="003D33EE">
      <w:pPr>
        <w:jc w:val="both"/>
        <w:rPr>
          <w:rFonts w:ascii="Verdana" w:hAnsi="Verdana"/>
          <w:b/>
          <w:lang w:val="en-GB"/>
        </w:rPr>
      </w:pPr>
    </w:p>
    <w:p w:rsidR="000F52F9" w:rsidRPr="00E03336" w:rsidRDefault="000F52F9" w:rsidP="009732DC">
      <w:pPr>
        <w:jc w:val="both"/>
        <w:rPr>
          <w:rFonts w:ascii="Verdana" w:hAnsi="Verdana"/>
          <w:bCs/>
        </w:rPr>
      </w:pPr>
      <w:r w:rsidRPr="00E03336">
        <w:rPr>
          <w:rFonts w:ascii="Verdana" w:hAnsi="Verdana"/>
          <w:b/>
          <w:lang w:val="en-GB"/>
        </w:rPr>
        <w:t xml:space="preserve">Slide 14: </w:t>
      </w:r>
      <w:r w:rsidRPr="00E03336">
        <w:rPr>
          <w:rFonts w:ascii="Verdana" w:hAnsi="Verdana"/>
          <w:lang w:val="en-GB"/>
        </w:rPr>
        <w:t xml:space="preserve">The Project Group on Standards for Equity in Health Care for Migrants and Other Vulnerable Groups, HPH Task Force Migrant Friendly Hospitals and Health Services, coordinated by Antonio Chiarenza, published in 2014 the </w:t>
      </w:r>
      <w:r w:rsidRPr="00E03336">
        <w:rPr>
          <w:rFonts w:ascii="Verdana" w:hAnsi="Verdana"/>
          <w:i/>
          <w:lang w:val="en-GB"/>
        </w:rPr>
        <w:t>“</w:t>
      </w:r>
      <w:r w:rsidRPr="00E03336">
        <w:rPr>
          <w:rFonts w:ascii="Verdana" w:hAnsi="Verdana"/>
          <w:b/>
          <w:bCs/>
          <w:i/>
          <w:lang w:val="en-GB"/>
        </w:rPr>
        <w:t>Standards for equity in health care for migrants and other vulnerable groups. Self-Assessment Tool for Pilot Implementation”</w:t>
      </w:r>
      <w:r w:rsidRPr="00E03336">
        <w:rPr>
          <w:rStyle w:val="FootnoteReference"/>
          <w:rFonts w:ascii="Verdana" w:hAnsi="Verdana"/>
          <w:b/>
          <w:bCs/>
          <w:i/>
        </w:rPr>
        <w:footnoteReference w:id="46"/>
      </w:r>
      <w:r w:rsidRPr="00E03336">
        <w:rPr>
          <w:rFonts w:ascii="Verdana" w:hAnsi="Verdana"/>
          <w:b/>
          <w:bCs/>
          <w:i/>
          <w:lang w:val="en-GB"/>
        </w:rPr>
        <w:t xml:space="preserve">. </w:t>
      </w:r>
      <w:r w:rsidRPr="00E03336">
        <w:rPr>
          <w:rFonts w:ascii="Verdana" w:hAnsi="Verdana"/>
          <w:bCs/>
          <w:lang w:val="en-GB"/>
        </w:rPr>
        <w:t xml:space="preserve">A first piloting was conducted in 45 health care organizations of 12 countries (Australia, Canada, Finland, Irleand, Italy, Norway, Scotland, Slovenia, Spain, Sweden, Switzerland and The Netherlands). </w:t>
      </w:r>
      <w:r w:rsidRPr="00E03336">
        <w:rPr>
          <w:rFonts w:ascii="Verdana" w:hAnsi="Verdana"/>
          <w:bCs/>
        </w:rPr>
        <w:t>The Standards are based on the following objectives:</w:t>
      </w:r>
    </w:p>
    <w:p w:rsidR="000F52F9" w:rsidRPr="00E03336" w:rsidRDefault="000F52F9" w:rsidP="009732DC">
      <w:pPr>
        <w:numPr>
          <w:ilvl w:val="0"/>
          <w:numId w:val="42"/>
        </w:numPr>
        <w:jc w:val="both"/>
        <w:rPr>
          <w:rFonts w:ascii="Verdana" w:hAnsi="Verdana"/>
          <w:lang w:val="en-GB"/>
        </w:rPr>
      </w:pPr>
      <w:r w:rsidRPr="00E03336">
        <w:rPr>
          <w:rFonts w:ascii="Verdana" w:hAnsi="Verdana"/>
          <w:lang w:val="en-GB"/>
        </w:rPr>
        <w:t>Improve monitoring of the health of migrants and ethnic minorities.</w:t>
      </w:r>
    </w:p>
    <w:p w:rsidR="000F52F9" w:rsidRPr="00E03336" w:rsidRDefault="000F52F9" w:rsidP="009732DC">
      <w:pPr>
        <w:numPr>
          <w:ilvl w:val="0"/>
          <w:numId w:val="42"/>
        </w:numPr>
        <w:jc w:val="both"/>
        <w:rPr>
          <w:rFonts w:ascii="Verdana" w:hAnsi="Verdana"/>
          <w:lang w:val="en-GB"/>
        </w:rPr>
      </w:pPr>
      <w:r w:rsidRPr="00E03336">
        <w:rPr>
          <w:rFonts w:ascii="Verdana" w:hAnsi="Verdana"/>
          <w:lang w:val="en-GB"/>
        </w:rPr>
        <w:t>Improve entitlements to health care and access to services.</w:t>
      </w:r>
    </w:p>
    <w:p w:rsidR="000F52F9" w:rsidRPr="00E03336" w:rsidRDefault="000F52F9" w:rsidP="009732DC">
      <w:pPr>
        <w:numPr>
          <w:ilvl w:val="0"/>
          <w:numId w:val="42"/>
        </w:numPr>
        <w:jc w:val="both"/>
        <w:rPr>
          <w:rFonts w:ascii="Verdana" w:hAnsi="Verdana"/>
          <w:lang w:val="en-GB"/>
        </w:rPr>
      </w:pPr>
      <w:r w:rsidRPr="00E03336">
        <w:rPr>
          <w:rFonts w:ascii="Verdana" w:hAnsi="Verdana"/>
          <w:lang w:val="en-GB"/>
        </w:rPr>
        <w:t>Develop good practices to promote appropriate care and interventions.</w:t>
      </w:r>
    </w:p>
    <w:p w:rsidR="000F52F9" w:rsidRPr="00E03336" w:rsidRDefault="000F52F9" w:rsidP="009732DC">
      <w:pPr>
        <w:numPr>
          <w:ilvl w:val="0"/>
          <w:numId w:val="42"/>
        </w:numPr>
        <w:jc w:val="both"/>
        <w:rPr>
          <w:rFonts w:ascii="Verdana" w:hAnsi="Verdana"/>
          <w:lang w:val="en-GB"/>
        </w:rPr>
      </w:pPr>
      <w:r w:rsidRPr="00E03336">
        <w:rPr>
          <w:rFonts w:ascii="Verdana" w:hAnsi="Verdana"/>
          <w:lang w:val="en-GB"/>
        </w:rPr>
        <w:t xml:space="preserve">Improve the participation of migrants and ethnic minorities in policy development and health services. </w:t>
      </w:r>
      <w:r w:rsidRPr="00E03336">
        <w:rPr>
          <w:rStyle w:val="FootnoteReference"/>
          <w:rFonts w:ascii="Verdana" w:hAnsi="Verdana"/>
        </w:rPr>
        <w:footnoteReference w:id="47"/>
      </w:r>
    </w:p>
    <w:p w:rsidR="000F52F9" w:rsidRPr="00E03336" w:rsidRDefault="000F52F9" w:rsidP="003D33EE">
      <w:pPr>
        <w:jc w:val="both"/>
        <w:rPr>
          <w:rFonts w:ascii="Verdana" w:hAnsi="Verdana"/>
          <w:b/>
          <w:lang w:val="en-GB"/>
        </w:rPr>
      </w:pPr>
    </w:p>
    <w:p w:rsidR="000F52F9" w:rsidRPr="00E03336" w:rsidRDefault="000F52F9" w:rsidP="003D33EE">
      <w:pPr>
        <w:jc w:val="both"/>
        <w:rPr>
          <w:rFonts w:ascii="Verdana" w:hAnsi="Verdana"/>
          <w:lang w:val="en-GB"/>
        </w:rPr>
      </w:pPr>
      <w:r w:rsidRPr="00E03336">
        <w:rPr>
          <w:rFonts w:ascii="Verdana" w:hAnsi="Verdana"/>
          <w:b/>
          <w:lang w:val="en-GB"/>
        </w:rPr>
        <w:t xml:space="preserve">Slide 15: </w:t>
      </w:r>
      <w:r w:rsidRPr="00E03336">
        <w:rPr>
          <w:rFonts w:ascii="Verdana" w:hAnsi="Verdana"/>
          <w:lang w:val="en-GB"/>
        </w:rPr>
        <w:t xml:space="preserve">The </w:t>
      </w:r>
      <w:r w:rsidRPr="00E03336">
        <w:rPr>
          <w:rFonts w:ascii="Verdana" w:hAnsi="Verdana"/>
          <w:b/>
          <w:i/>
          <w:lang w:val="en-GB"/>
        </w:rPr>
        <w:t>“Standards for equity in health care for migrants and other vulnerable groups”</w:t>
      </w:r>
      <w:r w:rsidRPr="00E03336">
        <w:rPr>
          <w:rFonts w:ascii="Verdana" w:hAnsi="Verdana"/>
          <w:lang w:val="en-GB"/>
        </w:rPr>
        <w:t xml:space="preserve"> consist of the following main areas, with substandards in each standard:</w:t>
      </w:r>
    </w:p>
    <w:p w:rsidR="000F52F9" w:rsidRPr="00E03336" w:rsidRDefault="000F52F9" w:rsidP="009732DC">
      <w:pPr>
        <w:numPr>
          <w:ilvl w:val="0"/>
          <w:numId w:val="43"/>
        </w:numPr>
        <w:jc w:val="both"/>
        <w:rPr>
          <w:rFonts w:ascii="Verdana" w:hAnsi="Verdana"/>
        </w:rPr>
      </w:pPr>
      <w:r w:rsidRPr="00E03336">
        <w:rPr>
          <w:rFonts w:ascii="Verdana" w:hAnsi="Verdana"/>
        </w:rPr>
        <w:t>Standard 1: Equity in Policy</w:t>
      </w:r>
    </w:p>
    <w:p w:rsidR="000F52F9" w:rsidRPr="00E03336" w:rsidRDefault="000F52F9" w:rsidP="009732DC">
      <w:pPr>
        <w:numPr>
          <w:ilvl w:val="0"/>
          <w:numId w:val="43"/>
        </w:numPr>
        <w:jc w:val="both"/>
        <w:rPr>
          <w:rFonts w:ascii="Verdana" w:hAnsi="Verdana"/>
        </w:rPr>
      </w:pPr>
      <w:r w:rsidRPr="00E03336">
        <w:rPr>
          <w:rFonts w:ascii="Verdana" w:hAnsi="Verdana"/>
        </w:rPr>
        <w:t>Standard 2: Equitable Access and Utilisation</w:t>
      </w:r>
    </w:p>
    <w:p w:rsidR="000F52F9" w:rsidRPr="00E03336" w:rsidRDefault="000F52F9" w:rsidP="009732DC">
      <w:pPr>
        <w:numPr>
          <w:ilvl w:val="0"/>
          <w:numId w:val="43"/>
        </w:numPr>
        <w:jc w:val="both"/>
        <w:rPr>
          <w:rFonts w:ascii="Verdana" w:hAnsi="Verdana"/>
        </w:rPr>
      </w:pPr>
      <w:r w:rsidRPr="00E03336">
        <w:rPr>
          <w:rFonts w:ascii="Verdana" w:hAnsi="Verdana"/>
        </w:rPr>
        <w:t>Standard 3: Equitable Quality of Care</w:t>
      </w:r>
    </w:p>
    <w:p w:rsidR="000F52F9" w:rsidRPr="00E03336" w:rsidRDefault="000F52F9" w:rsidP="009732DC">
      <w:pPr>
        <w:numPr>
          <w:ilvl w:val="0"/>
          <w:numId w:val="43"/>
        </w:numPr>
        <w:jc w:val="both"/>
        <w:rPr>
          <w:rFonts w:ascii="Verdana" w:hAnsi="Verdana"/>
        </w:rPr>
      </w:pPr>
      <w:r w:rsidRPr="00E03336">
        <w:rPr>
          <w:rFonts w:ascii="Verdana" w:hAnsi="Verdana"/>
        </w:rPr>
        <w:t>Standard 4: Equity in Participation</w:t>
      </w:r>
    </w:p>
    <w:p w:rsidR="000F52F9" w:rsidRPr="00E03336" w:rsidRDefault="000F52F9" w:rsidP="003D33EE">
      <w:pPr>
        <w:numPr>
          <w:ilvl w:val="0"/>
          <w:numId w:val="43"/>
        </w:numPr>
        <w:jc w:val="both"/>
        <w:rPr>
          <w:rFonts w:ascii="Verdana" w:hAnsi="Verdana"/>
        </w:rPr>
      </w:pPr>
      <w:r w:rsidRPr="00E03336">
        <w:rPr>
          <w:rFonts w:ascii="Verdana" w:hAnsi="Verdana"/>
        </w:rPr>
        <w:t>Standard 5: Promoting Equity</w:t>
      </w:r>
      <w:r w:rsidRPr="00E03336">
        <w:rPr>
          <w:rStyle w:val="FootnoteReference"/>
          <w:rFonts w:ascii="Verdana" w:hAnsi="Verdana"/>
        </w:rPr>
        <w:footnoteReference w:id="48"/>
      </w:r>
    </w:p>
    <w:p w:rsidR="000F52F9" w:rsidRPr="00E03336" w:rsidRDefault="000F52F9" w:rsidP="003D33EE">
      <w:pPr>
        <w:jc w:val="both"/>
        <w:rPr>
          <w:rFonts w:ascii="Verdana" w:hAnsi="Verdana"/>
          <w:b/>
          <w:lang w:val="en-GB"/>
        </w:rPr>
      </w:pPr>
    </w:p>
    <w:p w:rsidR="000F52F9" w:rsidRPr="00E03336" w:rsidRDefault="000F52F9" w:rsidP="003D33EE">
      <w:pPr>
        <w:jc w:val="both"/>
        <w:rPr>
          <w:rFonts w:ascii="Verdana" w:hAnsi="Verdana"/>
          <w:lang w:val="en-GB"/>
        </w:rPr>
      </w:pPr>
      <w:r w:rsidRPr="00E03336">
        <w:rPr>
          <w:rFonts w:ascii="Verdana" w:hAnsi="Verdana"/>
          <w:b/>
          <w:lang w:val="en-GB"/>
        </w:rPr>
        <w:t>Slide 16: Qualitative assessment methodologies</w:t>
      </w:r>
      <w:r w:rsidRPr="00E03336">
        <w:rPr>
          <w:rFonts w:ascii="Verdana" w:hAnsi="Verdana"/>
          <w:lang w:val="en-GB"/>
        </w:rPr>
        <w:t xml:space="preserve"> can be identified as a relevant approach for evaluating the quality of health care oriented towards cultural and ethnic diversity. As an example, a recent study</w:t>
      </w:r>
      <w:r w:rsidRPr="00E03336">
        <w:rPr>
          <w:rStyle w:val="FootnoteReference"/>
          <w:rFonts w:ascii="Verdana" w:hAnsi="Verdana"/>
          <w:lang w:val="en-GB"/>
        </w:rPr>
        <w:footnoteReference w:id="49"/>
      </w:r>
      <w:r w:rsidRPr="00E03336">
        <w:rPr>
          <w:rFonts w:ascii="Verdana" w:hAnsi="Verdana"/>
          <w:lang w:val="en-GB"/>
        </w:rPr>
        <w:t xml:space="preserve"> has been conducted that analyzes, by means of an ethnographic and qualitative research design, the power imbalance inherent in the humanitarian approach of a NGO working with migrant population. </w:t>
      </w:r>
    </w:p>
    <w:p w:rsidR="000F52F9" w:rsidRPr="00E03336" w:rsidRDefault="000F52F9" w:rsidP="003D33EE">
      <w:pPr>
        <w:jc w:val="both"/>
        <w:rPr>
          <w:rFonts w:ascii="Verdana" w:hAnsi="Verdana"/>
          <w:lang w:val="en-GB"/>
        </w:rPr>
      </w:pPr>
    </w:p>
    <w:p w:rsidR="000F52F9" w:rsidRPr="00E03336" w:rsidRDefault="000F52F9" w:rsidP="003D33EE">
      <w:pPr>
        <w:jc w:val="both"/>
        <w:rPr>
          <w:rFonts w:ascii="Verdana" w:hAnsi="Verdana"/>
          <w:lang w:val="en-GB"/>
        </w:rPr>
      </w:pPr>
      <w:r w:rsidRPr="00E03336">
        <w:rPr>
          <w:rFonts w:ascii="Verdana" w:hAnsi="Verdana"/>
          <w:lang w:val="en-GB"/>
        </w:rPr>
        <w:t>Another qualitative study</w:t>
      </w:r>
      <w:r w:rsidRPr="00E03336">
        <w:rPr>
          <w:rStyle w:val="FootnoteReference"/>
          <w:rFonts w:ascii="Verdana" w:hAnsi="Verdana"/>
          <w:lang w:val="en-GB"/>
        </w:rPr>
        <w:footnoteReference w:id="50"/>
      </w:r>
      <w:r w:rsidRPr="00E03336">
        <w:rPr>
          <w:rFonts w:ascii="Verdana" w:hAnsi="Verdana"/>
          <w:lang w:val="en-GB"/>
        </w:rPr>
        <w:t xml:space="preserve"> explores the perspectives of migrant children and parents on the quality of health care received in Scotland. The authors highlight the relevance of exploring the users’ perspectives in order to improve quality of health care, and identify the analysis of the migrant children’s perspective as a less explored topic. </w:t>
      </w:r>
    </w:p>
    <w:p w:rsidR="000F52F9" w:rsidRPr="00E03336" w:rsidRDefault="000F52F9" w:rsidP="003D33EE">
      <w:pPr>
        <w:jc w:val="both"/>
        <w:rPr>
          <w:rFonts w:ascii="Verdana" w:hAnsi="Verdana"/>
          <w:lang w:val="en-GB"/>
        </w:rPr>
      </w:pPr>
    </w:p>
    <w:p w:rsidR="000F52F9" w:rsidRPr="00E03336" w:rsidRDefault="000F52F9" w:rsidP="003D33EE">
      <w:pPr>
        <w:jc w:val="both"/>
        <w:rPr>
          <w:rFonts w:ascii="Verdana" w:hAnsi="Verdana"/>
          <w:lang w:val="en-GB"/>
        </w:rPr>
      </w:pPr>
      <w:r w:rsidRPr="00E03336">
        <w:rPr>
          <w:rFonts w:ascii="Verdana" w:hAnsi="Verdana"/>
          <w:b/>
          <w:lang w:val="en-GB"/>
        </w:rPr>
        <w:t xml:space="preserve">Slide 17: </w:t>
      </w:r>
      <w:r w:rsidRPr="00E03336">
        <w:rPr>
          <w:rFonts w:ascii="Verdana" w:hAnsi="Verdana"/>
          <w:lang w:val="en-GB"/>
        </w:rPr>
        <w:t>Two recent studies published by Médicins du Monde</w:t>
      </w:r>
      <w:r w:rsidRPr="00E03336">
        <w:rPr>
          <w:rStyle w:val="FootnoteReference"/>
          <w:rFonts w:ascii="Verdana" w:hAnsi="Verdana"/>
          <w:lang w:val="en-GB"/>
        </w:rPr>
        <w:footnoteReference w:id="51"/>
      </w:r>
      <w:r w:rsidRPr="00E03336">
        <w:rPr>
          <w:rFonts w:ascii="Verdana" w:hAnsi="Verdana"/>
          <w:szCs w:val="22"/>
          <w:vertAlign w:val="superscript"/>
          <w:lang w:val="en-GB"/>
        </w:rPr>
        <w:t>,</w:t>
      </w:r>
      <w:r w:rsidRPr="00E03336">
        <w:rPr>
          <w:rStyle w:val="FootnoteReference"/>
          <w:rFonts w:ascii="Verdana" w:hAnsi="Verdana"/>
          <w:lang w:val="en-GB"/>
        </w:rPr>
        <w:footnoteReference w:id="52"/>
      </w:r>
      <w:r w:rsidRPr="00E03336">
        <w:rPr>
          <w:rFonts w:ascii="Verdana" w:hAnsi="Verdana"/>
          <w:lang w:val="en-GB"/>
        </w:rPr>
        <w:t xml:space="preserve"> analyze, using qualitative and qualitative-quantitative methods (interviews and analysis of health records), the impact of the current economic crisis on the access to health and health status of marginalized population, including migrants in an ‘irregular’ situation. </w:t>
      </w:r>
    </w:p>
    <w:p w:rsidR="000F52F9" w:rsidRPr="00E03336" w:rsidRDefault="000F52F9" w:rsidP="00462F92">
      <w:pPr>
        <w:jc w:val="both"/>
        <w:rPr>
          <w:rFonts w:ascii="Verdana" w:hAnsi="Verdana"/>
          <w:b/>
          <w:lang w:val="en-GB"/>
        </w:rPr>
      </w:pPr>
    </w:p>
    <w:p w:rsidR="000F52F9" w:rsidRPr="00E03336" w:rsidRDefault="000F52F9" w:rsidP="004A4728">
      <w:pPr>
        <w:jc w:val="both"/>
        <w:rPr>
          <w:rFonts w:ascii="Verdana" w:hAnsi="Verdana"/>
          <w:lang w:val="en-GB"/>
        </w:rPr>
      </w:pPr>
      <w:r w:rsidRPr="00E03336">
        <w:rPr>
          <w:rFonts w:ascii="Verdana" w:hAnsi="Verdana"/>
          <w:b/>
          <w:lang w:val="en-GB"/>
        </w:rPr>
        <w:t xml:space="preserve">Slide 18: Participative assessment methods </w:t>
      </w:r>
      <w:r w:rsidRPr="00E03336">
        <w:rPr>
          <w:rFonts w:ascii="Verdana" w:hAnsi="Verdana"/>
          <w:lang w:val="en-GB"/>
        </w:rPr>
        <w:t>constitute another type of relevant methodology for quality assessment in health care oriented towards cultural and ethnic diversity. Different authors</w:t>
      </w:r>
      <w:r w:rsidRPr="00E03336">
        <w:rPr>
          <w:rStyle w:val="FootnoteReference"/>
          <w:rFonts w:ascii="Verdana" w:hAnsi="Verdana"/>
          <w:lang w:val="en-GB"/>
        </w:rPr>
        <w:footnoteReference w:id="53"/>
      </w:r>
      <w:r w:rsidRPr="00E03336">
        <w:rPr>
          <w:rFonts w:ascii="Verdana" w:hAnsi="Verdana"/>
          <w:szCs w:val="22"/>
          <w:vertAlign w:val="superscript"/>
          <w:lang w:val="en-GB"/>
        </w:rPr>
        <w:t>,</w:t>
      </w:r>
      <w:r w:rsidRPr="00E03336">
        <w:rPr>
          <w:rStyle w:val="FootnoteReference"/>
          <w:rFonts w:ascii="Verdana" w:hAnsi="Verdana"/>
          <w:lang w:val="en-GB"/>
        </w:rPr>
        <w:footnoteReference w:id="54"/>
      </w:r>
      <w:r w:rsidRPr="00E03336">
        <w:rPr>
          <w:rFonts w:ascii="Verdana" w:hAnsi="Verdana"/>
          <w:szCs w:val="22"/>
          <w:vertAlign w:val="superscript"/>
          <w:lang w:val="en-GB"/>
        </w:rPr>
        <w:t>,</w:t>
      </w:r>
      <w:r w:rsidRPr="00E03336">
        <w:rPr>
          <w:rStyle w:val="FootnoteReference"/>
          <w:rFonts w:ascii="Verdana" w:hAnsi="Verdana"/>
          <w:lang w:val="en-GB"/>
        </w:rPr>
        <w:footnoteReference w:id="55"/>
      </w:r>
      <w:r w:rsidRPr="00E03336">
        <w:rPr>
          <w:rFonts w:ascii="Verdana" w:hAnsi="Verdana"/>
          <w:lang w:val="en-GB"/>
        </w:rPr>
        <w:t xml:space="preserve"> stress the relevance of including migrants and ethnic minorities in the quality assessment, for improving the legitimacy and cultural acceptability of the evaluation process, as well as facilitating the orientation of health policies towards the users’ needs. According to Mock-Muñoz de Luna</w:t>
      </w:r>
      <w:r w:rsidRPr="00E03336">
        <w:rPr>
          <w:rStyle w:val="FootnoteReference"/>
          <w:rFonts w:ascii="Verdana" w:hAnsi="Verdana"/>
          <w:lang w:val="en-GB"/>
        </w:rPr>
        <w:footnoteReference w:id="56"/>
      </w:r>
      <w:r w:rsidRPr="00E03336">
        <w:rPr>
          <w:rFonts w:ascii="Verdana" w:hAnsi="Verdana"/>
          <w:lang w:val="en-GB"/>
        </w:rPr>
        <w:t xml:space="preserve">, several European projects aim at achieving users’ involvement in design, implementation and evaluation, among them EURO HIV EDAT, TAMPEP, TUBIDU.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b/>
          <w:lang w:val="en-GB"/>
        </w:rPr>
        <w:t xml:space="preserve">Slide 19: Assessment processes </w:t>
      </w:r>
      <w:r w:rsidRPr="00E03336">
        <w:rPr>
          <w:rFonts w:ascii="Verdana" w:hAnsi="Verdana"/>
          <w:lang w:val="en-GB"/>
        </w:rPr>
        <w:t xml:space="preserve">are not only conducted to evaluate the quality of health care for migrants and ethnic minorities, but also to </w:t>
      </w:r>
      <w:r w:rsidRPr="00E03336">
        <w:rPr>
          <w:rFonts w:ascii="Verdana" w:hAnsi="Verdana"/>
          <w:b/>
          <w:lang w:val="en-GB"/>
        </w:rPr>
        <w:t>evaluate health policies</w:t>
      </w:r>
      <w:r w:rsidRPr="00E03336">
        <w:rPr>
          <w:rFonts w:ascii="Verdana" w:hAnsi="Verdana"/>
          <w:lang w:val="en-GB"/>
        </w:rPr>
        <w:t>, by means of literature reviews and analysis of strategic documents, among others</w:t>
      </w:r>
      <w:r w:rsidRPr="00E03336">
        <w:rPr>
          <w:rStyle w:val="FootnoteReference"/>
          <w:rFonts w:ascii="Verdana" w:hAnsi="Verdana"/>
          <w:lang w:val="en-GB"/>
        </w:rPr>
        <w:footnoteReference w:id="57"/>
      </w:r>
      <w:r w:rsidRPr="00E03336">
        <w:rPr>
          <w:rFonts w:ascii="Verdana" w:hAnsi="Verdana"/>
          <w:szCs w:val="22"/>
          <w:vertAlign w:val="superscript"/>
          <w:lang w:val="en-GB"/>
        </w:rPr>
        <w:t>,</w:t>
      </w:r>
      <w:r w:rsidRPr="00E03336">
        <w:rPr>
          <w:rStyle w:val="FootnoteReference"/>
          <w:rFonts w:ascii="Verdana" w:hAnsi="Verdana"/>
          <w:lang w:val="en-GB"/>
        </w:rPr>
        <w:footnoteReference w:id="58"/>
      </w:r>
      <w:r w:rsidRPr="00E03336">
        <w:rPr>
          <w:rFonts w:ascii="Verdana" w:hAnsi="Verdana"/>
          <w:szCs w:val="22"/>
          <w:vertAlign w:val="superscript"/>
          <w:lang w:val="en-GB"/>
        </w:rPr>
        <w:t>,</w:t>
      </w:r>
      <w:r w:rsidRPr="00E03336">
        <w:rPr>
          <w:rStyle w:val="FootnoteReference"/>
          <w:rFonts w:ascii="Verdana" w:hAnsi="Verdana"/>
          <w:szCs w:val="22"/>
          <w:lang w:val="en-GB"/>
        </w:rPr>
        <w:footnoteReference w:id="59"/>
      </w:r>
      <w:r w:rsidRPr="00E03336">
        <w:rPr>
          <w:rFonts w:ascii="Verdana" w:hAnsi="Verdana"/>
          <w:szCs w:val="22"/>
          <w:vertAlign w:val="superscript"/>
          <w:lang w:val="en-GB"/>
        </w:rPr>
        <w:t>,</w:t>
      </w:r>
      <w:r w:rsidRPr="00E03336">
        <w:rPr>
          <w:rStyle w:val="FootnoteReference"/>
          <w:rFonts w:ascii="Verdana" w:hAnsi="Verdana"/>
          <w:szCs w:val="22"/>
          <w:lang w:val="en-GB"/>
        </w:rPr>
        <w:footnoteReference w:id="60"/>
      </w:r>
      <w:r w:rsidRPr="00E03336">
        <w:rPr>
          <w:rFonts w:ascii="Verdana" w:hAnsi="Verdana"/>
          <w:szCs w:val="22"/>
          <w:vertAlign w:val="superscript"/>
          <w:lang w:val="en-GB"/>
        </w:rPr>
        <w:t>,</w:t>
      </w:r>
      <w:r w:rsidRPr="00E03336">
        <w:rPr>
          <w:rStyle w:val="FootnoteReference"/>
          <w:rFonts w:ascii="Verdana" w:hAnsi="Verdana"/>
          <w:szCs w:val="22"/>
          <w:lang w:val="en-GB"/>
        </w:rPr>
        <w:footnoteReference w:id="61"/>
      </w:r>
      <w:r w:rsidRPr="00E03336">
        <w:rPr>
          <w:rFonts w:ascii="Verdana" w:hAnsi="Verdana"/>
          <w:szCs w:val="22"/>
          <w:vertAlign w:val="superscript"/>
          <w:lang w:val="en-GB"/>
        </w:rPr>
        <w:t>,</w:t>
      </w:r>
      <w:r w:rsidRPr="00E03336">
        <w:rPr>
          <w:rStyle w:val="FootnoteReference"/>
          <w:rFonts w:ascii="Verdana" w:hAnsi="Verdana"/>
          <w:szCs w:val="22"/>
          <w:lang w:val="en-GB"/>
        </w:rPr>
        <w:footnoteReference w:id="62"/>
      </w:r>
      <w:r w:rsidRPr="00E03336">
        <w:rPr>
          <w:rFonts w:ascii="Verdana" w:hAnsi="Verdana"/>
          <w:lang w:val="en-GB"/>
        </w:rPr>
        <w:t xml:space="preserve">. </w:t>
      </w:r>
    </w:p>
    <w:p w:rsidR="000F52F9" w:rsidRPr="00E03336" w:rsidRDefault="000F52F9" w:rsidP="00462F92">
      <w:pPr>
        <w:jc w:val="both"/>
        <w:rPr>
          <w:rFonts w:ascii="Verdana" w:hAnsi="Verdana"/>
          <w:lang w:val="en-GB"/>
        </w:rPr>
      </w:pPr>
    </w:p>
    <w:p w:rsidR="000F52F9" w:rsidRPr="00E03336" w:rsidRDefault="000F52F9" w:rsidP="00462F92">
      <w:pPr>
        <w:jc w:val="both"/>
        <w:rPr>
          <w:rFonts w:ascii="Verdana" w:hAnsi="Verdana"/>
          <w:lang w:val="en-GB"/>
        </w:rPr>
      </w:pPr>
      <w:r w:rsidRPr="00E03336">
        <w:rPr>
          <w:rFonts w:ascii="Verdana" w:hAnsi="Verdana"/>
          <w:lang w:val="en-GB"/>
        </w:rPr>
        <w:t xml:space="preserve">The reviewed studies indicate that only a few European countries count on national </w:t>
      </w:r>
      <w:r w:rsidRPr="00E03336">
        <w:rPr>
          <w:rFonts w:ascii="Verdana" w:hAnsi="Verdana"/>
          <w:b/>
          <w:lang w:val="en-GB"/>
        </w:rPr>
        <w:t>policies on migrants’ health</w:t>
      </w:r>
      <w:r w:rsidRPr="00E03336">
        <w:rPr>
          <w:rFonts w:ascii="Verdana" w:hAnsi="Verdana"/>
          <w:lang w:val="en-GB"/>
        </w:rPr>
        <w:t xml:space="preserve"> and data information systems related to migrants’ health. A relative scarcity of migrant policies focused on preventive care is observed. Furthermore, difficulties in data comparability are reported, which are attributed to differences in the methods and target groups. A lack of sustainability and an exposure of the policies to political changes are observed. The authors highlight the relevance of monitoring the implementation of the policies and assess their effectiveness. </w:t>
      </w:r>
    </w:p>
    <w:p w:rsidR="000F52F9" w:rsidRPr="00E03336" w:rsidRDefault="000F52F9" w:rsidP="00462F92">
      <w:pPr>
        <w:jc w:val="both"/>
        <w:rPr>
          <w:rFonts w:ascii="Verdana" w:hAnsi="Verdana"/>
          <w:lang w:val="en-GB"/>
        </w:rPr>
      </w:pPr>
    </w:p>
    <w:p w:rsidR="000F52F9" w:rsidRPr="00E03336" w:rsidRDefault="000F52F9" w:rsidP="00A739BD">
      <w:pPr>
        <w:jc w:val="both"/>
        <w:rPr>
          <w:rFonts w:ascii="Verdana" w:hAnsi="Verdana"/>
          <w:lang w:val="en-GB"/>
        </w:rPr>
      </w:pPr>
      <w:r w:rsidRPr="00E03336">
        <w:rPr>
          <w:rFonts w:ascii="Verdana" w:hAnsi="Verdana"/>
          <w:b/>
          <w:lang w:val="en-GB"/>
        </w:rPr>
        <w:t xml:space="preserve">Slide 20: </w:t>
      </w:r>
      <w:r w:rsidRPr="00E03336">
        <w:rPr>
          <w:rFonts w:ascii="Verdana" w:hAnsi="Verdana"/>
          <w:lang w:val="en-GB"/>
        </w:rPr>
        <w:t>Recent studies</w:t>
      </w:r>
      <w:r w:rsidRPr="00E03336">
        <w:rPr>
          <w:rStyle w:val="FootnoteReference"/>
          <w:rFonts w:ascii="Verdana" w:hAnsi="Verdana"/>
          <w:lang w:val="en-GB"/>
        </w:rPr>
        <w:footnoteReference w:id="63"/>
      </w:r>
      <w:r w:rsidRPr="00E03336">
        <w:rPr>
          <w:rFonts w:ascii="Verdana" w:hAnsi="Verdana"/>
          <w:vertAlign w:val="superscript"/>
          <w:lang w:val="en-GB"/>
        </w:rPr>
        <w:t>,</w:t>
      </w:r>
      <w:r w:rsidRPr="00E03336">
        <w:rPr>
          <w:rStyle w:val="FootnoteReference"/>
          <w:rFonts w:ascii="Verdana" w:hAnsi="Verdana"/>
          <w:lang w:val="en-GB"/>
        </w:rPr>
        <w:footnoteReference w:id="64"/>
      </w:r>
      <w:r w:rsidRPr="00E03336">
        <w:rPr>
          <w:rFonts w:ascii="Verdana" w:hAnsi="Verdana"/>
          <w:vertAlign w:val="superscript"/>
          <w:lang w:val="en-GB"/>
        </w:rPr>
        <w:t>,</w:t>
      </w:r>
      <w:r w:rsidRPr="00E03336">
        <w:rPr>
          <w:rStyle w:val="FootnoteReference"/>
          <w:rFonts w:ascii="Verdana" w:hAnsi="Verdana"/>
          <w:lang w:val="en-GB"/>
        </w:rPr>
        <w:footnoteReference w:id="65"/>
      </w:r>
      <w:r w:rsidRPr="00E03336">
        <w:rPr>
          <w:rFonts w:ascii="Verdana" w:hAnsi="Verdana"/>
          <w:vertAlign w:val="superscript"/>
          <w:lang w:val="en-GB"/>
        </w:rPr>
        <w:t>,</w:t>
      </w:r>
      <w:r w:rsidRPr="00E03336">
        <w:rPr>
          <w:rStyle w:val="FootnoteReference"/>
          <w:rFonts w:ascii="Verdana" w:hAnsi="Verdana"/>
          <w:lang w:val="en-GB"/>
        </w:rPr>
        <w:footnoteReference w:id="66"/>
      </w:r>
      <w:r w:rsidRPr="00E03336">
        <w:rPr>
          <w:rFonts w:ascii="Verdana" w:hAnsi="Verdana"/>
          <w:vertAlign w:val="superscript"/>
          <w:lang w:val="en-GB"/>
        </w:rPr>
        <w:t>,</w:t>
      </w:r>
      <w:r w:rsidRPr="00E03336">
        <w:rPr>
          <w:rStyle w:val="FootnoteReference"/>
          <w:rFonts w:ascii="Verdana" w:hAnsi="Verdana"/>
          <w:lang w:val="en-GB"/>
        </w:rPr>
        <w:footnoteReference w:id="67"/>
      </w:r>
      <w:r w:rsidRPr="00E03336">
        <w:rPr>
          <w:rFonts w:ascii="Verdana" w:hAnsi="Verdana"/>
          <w:vertAlign w:val="superscript"/>
          <w:lang w:val="en-GB"/>
        </w:rPr>
        <w:t>,</w:t>
      </w:r>
      <w:r w:rsidRPr="00E03336">
        <w:rPr>
          <w:rStyle w:val="FootnoteReference"/>
          <w:rFonts w:ascii="Verdana" w:hAnsi="Verdana"/>
          <w:lang w:val="en-GB"/>
        </w:rPr>
        <w:footnoteReference w:id="68"/>
      </w:r>
      <w:r w:rsidRPr="00E03336">
        <w:rPr>
          <w:rFonts w:ascii="Verdana" w:hAnsi="Verdana"/>
          <w:lang w:val="en-GB"/>
        </w:rPr>
        <w:t xml:space="preserve"> identify several </w:t>
      </w:r>
      <w:r w:rsidRPr="00E03336">
        <w:rPr>
          <w:rFonts w:ascii="Verdana" w:hAnsi="Verdana"/>
          <w:b/>
          <w:lang w:val="en-GB"/>
        </w:rPr>
        <w:t>limitations and challenges</w:t>
      </w:r>
      <w:r w:rsidRPr="00E03336">
        <w:rPr>
          <w:rFonts w:ascii="Verdana" w:hAnsi="Verdana"/>
          <w:lang w:val="en-GB"/>
        </w:rPr>
        <w:t xml:space="preserve"> related to quality assessment of health care oriented towards cultural and ethnic diversity. First, a lack of statistical and methodological data comparability, as well as difficulties in collecting data are observed. These challenges are related to the differences in the data collection related to migration status and ethnicity according to the country, the complexity and multidimensionality of concepts such as ‘migrant’, ‘migration’, ‘ethnic minority’ or ‘ethnicity’, as well as differences between external categorizations and self-denominations. Furthermore, different quality assessment methods and indicators can be detected. Finally, ethical concerns and a questioning of the legitimacy of a data collection on migration status and ethnicity can be observed.</w:t>
      </w:r>
    </w:p>
    <w:p w:rsidR="000F52F9" w:rsidRPr="00E03336" w:rsidRDefault="000F52F9" w:rsidP="00A739BD">
      <w:pPr>
        <w:jc w:val="both"/>
        <w:rPr>
          <w:rFonts w:ascii="Verdana" w:hAnsi="Verdana"/>
          <w:b/>
          <w:color w:val="000080"/>
          <w:sz w:val="28"/>
          <w:lang w:val="en-GB"/>
        </w:rPr>
      </w:pPr>
    </w:p>
    <w:p w:rsidR="000F52F9" w:rsidRPr="00E03336" w:rsidRDefault="000F52F9" w:rsidP="00A739BD">
      <w:pPr>
        <w:jc w:val="both"/>
        <w:rPr>
          <w:rFonts w:ascii="Verdana" w:hAnsi="Verdana"/>
          <w:b/>
          <w:color w:val="000080"/>
          <w:sz w:val="28"/>
          <w:lang w:val="en-GB"/>
        </w:rPr>
      </w:pPr>
      <w:r w:rsidRPr="00E03336">
        <w:rPr>
          <w:rFonts w:ascii="Verdana" w:hAnsi="Verdana"/>
          <w:b/>
          <w:color w:val="000080"/>
          <w:sz w:val="28"/>
          <w:lang w:val="en-GB"/>
        </w:rPr>
        <w:t>3. Activity: Quality Assessment of Health Care oriented towards Cultural and Ethnic Diversity</w:t>
      </w:r>
    </w:p>
    <w:p w:rsidR="000F52F9" w:rsidRPr="00E03336" w:rsidRDefault="000F52F9" w:rsidP="006807CB">
      <w:pPr>
        <w:jc w:val="both"/>
        <w:rPr>
          <w:rFonts w:ascii="Verdana" w:hAnsi="Verdana"/>
          <w:lang w:val="en-GB"/>
        </w:rPr>
      </w:pPr>
    </w:p>
    <w:p w:rsidR="000F52F9" w:rsidRPr="00E03336" w:rsidRDefault="000F52F9" w:rsidP="00F813B5">
      <w:pPr>
        <w:jc w:val="both"/>
        <w:rPr>
          <w:rFonts w:ascii="Verdana" w:hAnsi="Verdana"/>
          <w:lang w:val="en-GB"/>
        </w:rPr>
      </w:pPr>
      <w:r w:rsidRPr="00E03336">
        <w:rPr>
          <w:rFonts w:ascii="Verdana" w:hAnsi="Verdana"/>
          <w:b/>
          <w:lang w:val="en-GB"/>
        </w:rPr>
        <w:t>Slide 21:</w:t>
      </w:r>
      <w:r w:rsidRPr="00E03336">
        <w:rPr>
          <w:rFonts w:ascii="Verdana" w:hAnsi="Verdana"/>
          <w:lang w:val="en-GB"/>
        </w:rPr>
        <w:t xml:space="preserve"> The activity consists of three parts:</w:t>
      </w:r>
    </w:p>
    <w:p w:rsidR="000F52F9" w:rsidRPr="00E03336" w:rsidRDefault="000F52F9" w:rsidP="00F813B5">
      <w:pPr>
        <w:jc w:val="both"/>
        <w:rPr>
          <w:rFonts w:ascii="Verdana" w:hAnsi="Verdana"/>
          <w:lang w:val="en-GB"/>
        </w:rPr>
      </w:pPr>
    </w:p>
    <w:p w:rsidR="000F52F9" w:rsidRPr="00E03336" w:rsidRDefault="000F52F9" w:rsidP="00F40191">
      <w:pPr>
        <w:numPr>
          <w:ilvl w:val="0"/>
          <w:numId w:val="35"/>
        </w:numPr>
        <w:jc w:val="both"/>
        <w:rPr>
          <w:rFonts w:ascii="Verdana" w:hAnsi="Verdana"/>
          <w:b/>
          <w:lang w:val="en-GB"/>
        </w:rPr>
      </w:pPr>
      <w:r w:rsidRPr="00E03336">
        <w:rPr>
          <w:rFonts w:ascii="Verdana" w:hAnsi="Verdana"/>
          <w:b/>
          <w:lang w:val="en-GB"/>
        </w:rPr>
        <w:t>Presentation of the methodology</w:t>
      </w:r>
    </w:p>
    <w:p w:rsidR="000F52F9" w:rsidRPr="00E03336" w:rsidRDefault="000F52F9" w:rsidP="00F40191">
      <w:pPr>
        <w:ind w:left="360"/>
        <w:jc w:val="both"/>
        <w:rPr>
          <w:rFonts w:ascii="Verdana" w:hAnsi="Verdana"/>
          <w:lang w:val="en-GB"/>
        </w:rPr>
      </w:pPr>
    </w:p>
    <w:p w:rsidR="000F52F9" w:rsidRPr="00E03336" w:rsidRDefault="000F52F9" w:rsidP="00F40191">
      <w:pPr>
        <w:numPr>
          <w:ilvl w:val="0"/>
          <w:numId w:val="35"/>
        </w:numPr>
        <w:jc w:val="both"/>
        <w:rPr>
          <w:rFonts w:ascii="Verdana" w:hAnsi="Verdana"/>
          <w:b/>
          <w:lang w:val="en-GB"/>
        </w:rPr>
      </w:pPr>
      <w:r w:rsidRPr="00E03336">
        <w:rPr>
          <w:rFonts w:ascii="Verdana" w:hAnsi="Verdana"/>
          <w:b/>
        </w:rPr>
        <w:t>Activity in pairs</w:t>
      </w:r>
    </w:p>
    <w:p w:rsidR="000F52F9" w:rsidRPr="00E03336" w:rsidRDefault="000F52F9" w:rsidP="00F40191">
      <w:pPr>
        <w:numPr>
          <w:ilvl w:val="0"/>
          <w:numId w:val="33"/>
        </w:numPr>
        <w:jc w:val="both"/>
        <w:rPr>
          <w:rFonts w:ascii="Verdana" w:hAnsi="Verdana"/>
          <w:lang w:val="en-GB"/>
        </w:rPr>
      </w:pPr>
      <w:r w:rsidRPr="00E03336">
        <w:rPr>
          <w:rFonts w:ascii="Verdana" w:hAnsi="Verdana"/>
          <w:lang w:val="en-GB"/>
        </w:rPr>
        <w:t>Identify relevant aspects for quality of health care oriented towards cultural and ethnic diversity in your context, creating a list of assessment criteria (M4_U4 Activity 1 Template).</w:t>
      </w:r>
    </w:p>
    <w:p w:rsidR="000F52F9" w:rsidRPr="00E03336" w:rsidRDefault="000F52F9" w:rsidP="00F40191">
      <w:pPr>
        <w:numPr>
          <w:ilvl w:val="0"/>
          <w:numId w:val="33"/>
        </w:numPr>
        <w:jc w:val="both"/>
        <w:rPr>
          <w:rFonts w:ascii="Verdana" w:hAnsi="Verdana"/>
          <w:lang w:val="en-GB"/>
        </w:rPr>
      </w:pPr>
      <w:r w:rsidRPr="00E03336">
        <w:rPr>
          <w:rFonts w:ascii="Verdana" w:hAnsi="Verdana"/>
          <w:lang w:val="en-GB"/>
        </w:rPr>
        <w:t>Remember a health intervention oriented towards cultural and ethnic diversity conducted in your own professional context.</w:t>
      </w:r>
    </w:p>
    <w:p w:rsidR="000F52F9" w:rsidRPr="00E03336" w:rsidRDefault="000F52F9" w:rsidP="00F40191">
      <w:pPr>
        <w:numPr>
          <w:ilvl w:val="0"/>
          <w:numId w:val="33"/>
        </w:numPr>
        <w:jc w:val="both"/>
        <w:rPr>
          <w:rFonts w:ascii="Verdana" w:hAnsi="Verdana"/>
          <w:lang w:val="en-GB"/>
        </w:rPr>
      </w:pPr>
      <w:r w:rsidRPr="00E03336">
        <w:rPr>
          <w:rFonts w:ascii="Verdana" w:hAnsi="Verdana"/>
          <w:lang w:val="en-GB"/>
        </w:rPr>
        <w:t>Apply the quality assessment criteria to the intervention (M4_U4 Activity Template).</w:t>
      </w:r>
    </w:p>
    <w:p w:rsidR="000F52F9" w:rsidRPr="00E03336" w:rsidRDefault="000F52F9" w:rsidP="00F40191">
      <w:pPr>
        <w:jc w:val="both"/>
        <w:rPr>
          <w:rFonts w:ascii="Verdana" w:hAnsi="Verdana"/>
          <w:lang w:val="en-GB"/>
        </w:rPr>
      </w:pPr>
    </w:p>
    <w:p w:rsidR="000F52F9" w:rsidRPr="00E03336" w:rsidRDefault="000F52F9" w:rsidP="00007E20">
      <w:pPr>
        <w:pStyle w:val="ListParagraph"/>
        <w:numPr>
          <w:ilvl w:val="0"/>
          <w:numId w:val="35"/>
        </w:numPr>
        <w:jc w:val="both"/>
        <w:rPr>
          <w:rFonts w:ascii="Verdana" w:hAnsi="Verdana"/>
          <w:lang w:val="en-GB"/>
        </w:rPr>
      </w:pPr>
      <w:r w:rsidRPr="00E03336">
        <w:rPr>
          <w:rFonts w:ascii="Verdana" w:hAnsi="Verdana"/>
          <w:b/>
          <w:lang w:val="en-GB"/>
        </w:rPr>
        <w:t>Group discussion</w:t>
      </w:r>
    </w:p>
    <w:p w:rsidR="000F52F9" w:rsidRPr="00E03336" w:rsidRDefault="000F52F9" w:rsidP="00F40191">
      <w:pPr>
        <w:numPr>
          <w:ilvl w:val="0"/>
          <w:numId w:val="34"/>
        </w:numPr>
        <w:jc w:val="both"/>
        <w:rPr>
          <w:rFonts w:ascii="Verdana" w:hAnsi="Verdana"/>
          <w:lang w:val="en-GB"/>
        </w:rPr>
      </w:pPr>
      <w:r w:rsidRPr="00E03336">
        <w:rPr>
          <w:rFonts w:ascii="Verdana" w:hAnsi="Verdana"/>
          <w:lang w:val="en-US"/>
        </w:rPr>
        <w:t xml:space="preserve">Share the experience of developing assessment criteria and applying them to a concrete example of health care oriented towards cultural and ethnic diversity, including difficulties and doubts. </w:t>
      </w:r>
    </w:p>
    <w:p w:rsidR="000F52F9" w:rsidRPr="00E03336" w:rsidRDefault="000F52F9" w:rsidP="00F813B5">
      <w:pPr>
        <w:jc w:val="both"/>
        <w:rPr>
          <w:rFonts w:ascii="Verdana" w:hAnsi="Verdana"/>
          <w:lang w:val="en-GB"/>
        </w:rPr>
      </w:pPr>
    </w:p>
    <w:p w:rsidR="000F52F9" w:rsidRPr="00E03336" w:rsidRDefault="000F52F9" w:rsidP="00F813B5">
      <w:pPr>
        <w:jc w:val="both"/>
        <w:rPr>
          <w:rFonts w:ascii="Verdana" w:hAnsi="Verdana"/>
          <w:lang w:val="en-GB"/>
        </w:rPr>
      </w:pPr>
      <w:r w:rsidRPr="00E03336">
        <w:rPr>
          <w:rFonts w:ascii="Verdana" w:hAnsi="Verdana"/>
          <w:b/>
          <w:lang w:val="en-GB"/>
        </w:rPr>
        <w:t xml:space="preserve">Slide 22: </w:t>
      </w:r>
      <w:r w:rsidRPr="00E03336">
        <w:rPr>
          <w:rFonts w:ascii="Verdana" w:hAnsi="Verdana"/>
          <w:lang w:val="en-GB"/>
        </w:rPr>
        <w:t>Thank you and questions.</w:t>
      </w:r>
    </w:p>
    <w:p w:rsidR="000F52F9" w:rsidRPr="00E03336" w:rsidRDefault="000F52F9" w:rsidP="00F813B5">
      <w:pPr>
        <w:jc w:val="both"/>
        <w:rPr>
          <w:rFonts w:ascii="Verdana" w:hAnsi="Verdana"/>
          <w:lang w:val="en-GB"/>
        </w:rPr>
      </w:pPr>
    </w:p>
    <w:p w:rsidR="000F52F9" w:rsidRPr="00E03336" w:rsidRDefault="000F52F9" w:rsidP="00F813B5">
      <w:pPr>
        <w:jc w:val="both"/>
        <w:rPr>
          <w:rFonts w:ascii="Verdana" w:hAnsi="Verdana"/>
          <w:lang w:val="en-GB"/>
        </w:rPr>
      </w:pPr>
      <w:r w:rsidRPr="00E03336">
        <w:rPr>
          <w:rFonts w:ascii="Verdana" w:hAnsi="Verdana"/>
          <w:b/>
          <w:lang w:val="en-GB"/>
        </w:rPr>
        <w:t xml:space="preserve">Slide 23-27: </w:t>
      </w:r>
      <w:r w:rsidRPr="00E03336">
        <w:rPr>
          <w:rFonts w:ascii="Verdana" w:hAnsi="Verdana"/>
          <w:lang w:val="en-GB"/>
        </w:rPr>
        <w:t xml:space="preserve">References. </w:t>
      </w:r>
    </w:p>
    <w:p w:rsidR="000F52F9" w:rsidRPr="00E03336" w:rsidRDefault="000F52F9" w:rsidP="00F813B5">
      <w:pPr>
        <w:jc w:val="both"/>
        <w:rPr>
          <w:rFonts w:ascii="Verdana" w:hAnsi="Verdana"/>
          <w:lang w:val="en-GB"/>
        </w:rPr>
      </w:pPr>
    </w:p>
    <w:p w:rsidR="000F52F9" w:rsidRPr="00E03336" w:rsidRDefault="000F52F9" w:rsidP="00F813B5">
      <w:pPr>
        <w:jc w:val="both"/>
        <w:rPr>
          <w:rFonts w:ascii="Verdana" w:hAnsi="Verdana"/>
          <w:lang w:val="en-GB"/>
        </w:rPr>
      </w:pPr>
      <w:r w:rsidRPr="00E03336">
        <w:rPr>
          <w:rFonts w:ascii="Verdana" w:hAnsi="Verdana"/>
          <w:b/>
          <w:lang w:val="en-GB"/>
        </w:rPr>
        <w:t xml:space="preserve">Slide 28: </w:t>
      </w:r>
      <w:r w:rsidRPr="00E03336">
        <w:rPr>
          <w:rFonts w:ascii="Verdana" w:hAnsi="Verdana"/>
          <w:lang w:val="en-GB"/>
        </w:rPr>
        <w:t>European Commission disclaimer.</w:t>
      </w:r>
    </w:p>
    <w:p w:rsidR="000F52F9" w:rsidRPr="00E03336" w:rsidRDefault="000F52F9" w:rsidP="00F813B5">
      <w:pPr>
        <w:jc w:val="both"/>
        <w:rPr>
          <w:rFonts w:ascii="Verdana" w:hAnsi="Verdana"/>
          <w:lang w:val="en-GB"/>
        </w:rPr>
      </w:pPr>
      <w:r w:rsidRPr="00E03336">
        <w:rPr>
          <w:rFonts w:ascii="Verdana" w:hAnsi="Verdana"/>
          <w:lang w:val="en-GB"/>
        </w:rPr>
        <w:t xml:space="preserve"> </w:t>
      </w:r>
    </w:p>
    <w:p w:rsidR="000F52F9" w:rsidRPr="00E03336" w:rsidRDefault="000F52F9" w:rsidP="00F813B5">
      <w:pPr>
        <w:jc w:val="both"/>
        <w:rPr>
          <w:rFonts w:ascii="Verdana" w:hAnsi="Verdana"/>
          <w:lang w:val="en-GB"/>
        </w:rPr>
      </w:pPr>
    </w:p>
    <w:p w:rsidR="000F52F9" w:rsidRPr="00E03336" w:rsidRDefault="000F52F9">
      <w:pPr>
        <w:rPr>
          <w:rFonts w:ascii="Verdana" w:hAnsi="Verdana"/>
          <w:b/>
          <w:color w:val="000080"/>
          <w:sz w:val="28"/>
          <w:szCs w:val="28"/>
          <w:lang w:val="en-GB"/>
        </w:rPr>
      </w:pPr>
      <w:r w:rsidRPr="00E03336">
        <w:rPr>
          <w:rFonts w:ascii="Verdana" w:hAnsi="Verdana"/>
          <w:b/>
          <w:color w:val="000080"/>
          <w:sz w:val="28"/>
          <w:szCs w:val="28"/>
          <w:lang w:val="en-GB"/>
        </w:rPr>
        <w:t>4. Readings</w:t>
      </w:r>
    </w:p>
    <w:p w:rsidR="000F52F9" w:rsidRPr="00E03336" w:rsidRDefault="000F52F9">
      <w:pPr>
        <w:rPr>
          <w:rFonts w:ascii="Verdana" w:hAnsi="Verdana"/>
          <w:color w:val="000080"/>
          <w:sz w:val="28"/>
          <w:szCs w:val="28"/>
          <w:lang w:val="en-GB"/>
        </w:rPr>
      </w:pPr>
    </w:p>
    <w:p w:rsidR="000F52F9" w:rsidRPr="00E03336" w:rsidRDefault="000F52F9">
      <w:pPr>
        <w:rPr>
          <w:rFonts w:ascii="Verdana" w:hAnsi="Verdana"/>
          <w:b/>
          <w:sz w:val="24"/>
          <w:lang w:val="en-GB"/>
        </w:rPr>
      </w:pPr>
      <w:r w:rsidRPr="00E03336">
        <w:rPr>
          <w:rFonts w:ascii="Verdana" w:hAnsi="Verdana"/>
          <w:b/>
          <w:sz w:val="24"/>
          <w:lang w:val="en-GB"/>
        </w:rPr>
        <w:t>Recommended readings:</w:t>
      </w:r>
    </w:p>
    <w:p w:rsidR="000F52F9" w:rsidRPr="00E03336" w:rsidRDefault="000F52F9" w:rsidP="009732DC">
      <w:pPr>
        <w:pStyle w:val="FootnoteText"/>
        <w:jc w:val="both"/>
        <w:rPr>
          <w:rFonts w:ascii="Verdana" w:hAnsi="Verdana"/>
          <w:sz w:val="22"/>
          <w:szCs w:val="22"/>
          <w:lang w:val="en-GB"/>
        </w:rPr>
      </w:pPr>
    </w:p>
    <w:p w:rsidR="000F52F9" w:rsidRPr="00E03336" w:rsidRDefault="000F52F9" w:rsidP="00106B3B">
      <w:pPr>
        <w:pStyle w:val="FootnoteText"/>
        <w:jc w:val="both"/>
        <w:rPr>
          <w:rFonts w:ascii="Verdana" w:hAnsi="Verdana"/>
          <w:lang w:val="en-US"/>
        </w:rPr>
      </w:pPr>
      <w:r w:rsidRPr="00E03336">
        <w:rPr>
          <w:rFonts w:ascii="Verdana" w:hAnsi="Verdana"/>
          <w:lang w:val="en-GB"/>
        </w:rPr>
        <w:t xml:space="preserve">Chiarenza A, in collaboration with Project Group on Standards for Equity in Health Care for Migrants and Other Vulnerable Groups, HPH Task Force Migrant Friendly Hospitals and Health Services. Standards for equity in health care for migrants and other vulnerable groups. Self-Assessment Tool for Pilot Implementation. Reggio Emilia: Task Force Migrant Friendly Hospitals and Health Services, 2014.  </w:t>
      </w:r>
    </w:p>
    <w:p w:rsidR="000F52F9" w:rsidRPr="00E03336" w:rsidRDefault="000F52F9" w:rsidP="00106B3B">
      <w:pPr>
        <w:pStyle w:val="FootnoteText"/>
        <w:jc w:val="both"/>
        <w:rPr>
          <w:rFonts w:ascii="Verdana" w:hAnsi="Verdana"/>
          <w:lang w:val="en-GB"/>
        </w:rPr>
      </w:pPr>
      <w:r w:rsidRPr="00E03336">
        <w:rPr>
          <w:rFonts w:ascii="Verdana" w:hAnsi="Verdana"/>
          <w:lang w:val="en-GB"/>
        </w:rPr>
        <w:t>Mladovsky P. A framework for analysing migrant health policies in Europe. Health Policy 2009;93:55-63.</w:t>
      </w:r>
    </w:p>
    <w:p w:rsidR="000F52F9" w:rsidRPr="00E03336" w:rsidRDefault="000F52F9" w:rsidP="00106B3B">
      <w:pPr>
        <w:pStyle w:val="FootnoteText"/>
        <w:jc w:val="both"/>
        <w:rPr>
          <w:rFonts w:ascii="Verdana" w:hAnsi="Verdana"/>
          <w:lang w:val="en-GB"/>
        </w:rPr>
      </w:pPr>
      <w:r w:rsidRPr="00E03336">
        <w:rPr>
          <w:rFonts w:ascii="Verdana" w:hAnsi="Verdana"/>
          <w:lang w:val="en-GB"/>
        </w:rPr>
        <w:t xml:space="preserve">OPHS, US Department of Health and Human Services, Office of Minority Health. National Standards for Culturally and Linguistically Appropriate Services in Health Care. Final Report. </w:t>
      </w:r>
    </w:p>
    <w:p w:rsidR="000F52F9" w:rsidRPr="00E03336" w:rsidRDefault="000F52F9" w:rsidP="009732DC">
      <w:pPr>
        <w:pStyle w:val="FootnoteText"/>
        <w:jc w:val="both"/>
        <w:rPr>
          <w:rFonts w:ascii="Verdana" w:hAnsi="Verdana"/>
          <w:lang w:val="en-GB"/>
        </w:rPr>
      </w:pPr>
      <w:r w:rsidRPr="00E03336">
        <w:rPr>
          <w:rFonts w:ascii="Verdana" w:hAnsi="Verdana"/>
          <w:lang w:val="en-GB"/>
        </w:rPr>
        <w:t xml:space="preserve">Washington: OPHS, 2001. </w:t>
      </w:r>
      <w:hyperlink r:id="rId10" w:history="1">
        <w:r w:rsidRPr="00E03336">
          <w:rPr>
            <w:rStyle w:val="Hyperlink"/>
            <w:rFonts w:ascii="Verdana" w:hAnsi="Verdana"/>
            <w:lang w:val="en-GB"/>
          </w:rPr>
          <w:t>http://minorityhealth.hhs.gov/assets/pdf/checked/finalreport.pdf</w:t>
        </w:r>
      </w:hyperlink>
      <w:r w:rsidRPr="00E03336">
        <w:rPr>
          <w:rFonts w:ascii="Verdana" w:hAnsi="Verdana"/>
          <w:lang w:val="en-GB"/>
        </w:rPr>
        <w:t xml:space="preserve"> (retrieved: March 5, 2015). </w:t>
      </w:r>
    </w:p>
    <w:p w:rsidR="000F52F9" w:rsidRPr="00E03336" w:rsidRDefault="000F52F9" w:rsidP="00106B3B">
      <w:pPr>
        <w:jc w:val="both"/>
        <w:rPr>
          <w:rFonts w:ascii="Verdana" w:hAnsi="Verdana"/>
          <w:sz w:val="20"/>
          <w:szCs w:val="20"/>
          <w:lang w:val="en-GB"/>
        </w:rPr>
      </w:pPr>
      <w:r w:rsidRPr="00E03336">
        <w:rPr>
          <w:rFonts w:ascii="Verdana" w:hAnsi="Verdana"/>
          <w:sz w:val="20"/>
          <w:szCs w:val="20"/>
          <w:lang w:val="en-GB"/>
        </w:rPr>
        <w:t xml:space="preserve">Quigley RL, den Broeder P, Furu A, Bond BC, Bos R. Health Impact Assessment International Best Practice Principles. Special Publication Series No. 5. Fargo, USA: International Association for Impact Assessment, 2006. </w:t>
      </w:r>
    </w:p>
    <w:p w:rsidR="000F52F9" w:rsidRPr="00E03336" w:rsidRDefault="000F52F9" w:rsidP="00106B3B">
      <w:pPr>
        <w:jc w:val="both"/>
        <w:rPr>
          <w:rFonts w:ascii="Verdana" w:hAnsi="Verdana"/>
          <w:b/>
          <w:sz w:val="20"/>
          <w:szCs w:val="20"/>
          <w:lang w:val="en-GB"/>
        </w:rPr>
      </w:pPr>
      <w:hyperlink r:id="rId11" w:history="1">
        <w:r w:rsidRPr="00E03336">
          <w:rPr>
            <w:rStyle w:val="Hyperlink"/>
            <w:rFonts w:ascii="Verdana" w:hAnsi="Verdana"/>
            <w:sz w:val="20"/>
            <w:szCs w:val="20"/>
            <w:lang w:val="en-GB"/>
          </w:rPr>
          <w:t>http://www.iaia.org/publicdocuments/special-publications/SP5.pdf?AspxAutoDetectCookieSupport=1</w:t>
        </w:r>
      </w:hyperlink>
      <w:r w:rsidRPr="00E03336">
        <w:rPr>
          <w:rFonts w:ascii="Verdana" w:hAnsi="Verdana"/>
          <w:sz w:val="20"/>
          <w:szCs w:val="20"/>
          <w:lang w:val="en-GB"/>
        </w:rPr>
        <w:t xml:space="preserve"> (retrieved: March 5, 2015).</w:t>
      </w:r>
    </w:p>
    <w:p w:rsidR="000F52F9" w:rsidRPr="00E03336" w:rsidRDefault="000F52F9">
      <w:pPr>
        <w:rPr>
          <w:rFonts w:ascii="Verdana" w:hAnsi="Verdana"/>
          <w:b/>
          <w:sz w:val="20"/>
          <w:szCs w:val="20"/>
          <w:lang w:val="en-GB"/>
        </w:rPr>
      </w:pPr>
    </w:p>
    <w:p w:rsidR="000F52F9" w:rsidRPr="00E03336" w:rsidRDefault="000F52F9">
      <w:pPr>
        <w:rPr>
          <w:rFonts w:ascii="Verdana" w:hAnsi="Verdana"/>
          <w:b/>
          <w:sz w:val="24"/>
          <w:lang w:val="en-GB"/>
        </w:rPr>
      </w:pPr>
      <w:r w:rsidRPr="00E03336">
        <w:rPr>
          <w:rFonts w:ascii="Verdana" w:hAnsi="Verdana"/>
          <w:b/>
          <w:sz w:val="24"/>
          <w:lang w:val="en-GB"/>
        </w:rPr>
        <w:t xml:space="preserve">Complementary readings: </w:t>
      </w:r>
    </w:p>
    <w:p w:rsidR="000F52F9" w:rsidRPr="00E03336" w:rsidRDefault="000F52F9">
      <w:pPr>
        <w:rPr>
          <w:rFonts w:ascii="Verdana" w:hAnsi="Verdana"/>
          <w:sz w:val="18"/>
          <w:szCs w:val="18"/>
          <w:lang w:val="en-GB"/>
        </w:rPr>
      </w:pP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US"/>
        </w:rPr>
        <w:t>Abdikeeva a. Measure, Plan, Act. How data collection can support racial equality. Brussels: European Network Against Racism (ENAR), 2014.</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Amnesty International. Migration-Related Detention: A research guide on human rights standards relevant to the detention of migrants, asylum-seekers and refugees. London: AI, 2007.</w:t>
      </w:r>
    </w:p>
    <w:p w:rsidR="000F52F9" w:rsidRPr="00E03336" w:rsidRDefault="000F52F9" w:rsidP="00106B3B">
      <w:pPr>
        <w:pStyle w:val="FootnoteText"/>
        <w:jc w:val="both"/>
        <w:rPr>
          <w:rFonts w:ascii="Verdana" w:hAnsi="Verdana"/>
          <w:sz w:val="18"/>
          <w:szCs w:val="18"/>
          <w:lang w:val="en-GB"/>
        </w:rPr>
      </w:pPr>
      <w:hyperlink r:id="rId12" w:history="1">
        <w:r w:rsidRPr="00E03336">
          <w:rPr>
            <w:rStyle w:val="Hyperlink"/>
            <w:rFonts w:ascii="Verdana" w:hAnsi="Verdana"/>
            <w:sz w:val="18"/>
            <w:szCs w:val="18"/>
            <w:lang w:val="en-GB"/>
          </w:rPr>
          <w:t>http://www.refworld.org/pdfid/476b7d322.pdf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Beach MC, Saha S, Cooper LA. The role and relationship of cultural competence and patient-centeredness in health care quality. London: Commonwealth Fund, 2006.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US"/>
        </w:rPr>
        <w:t>Bhopal R. Migration, ethnicity, race and health in multicultural societies. Oxford: Oxford University Press, 2014.</w:t>
      </w:r>
    </w:p>
    <w:p w:rsidR="000F52F9" w:rsidRPr="00E03336" w:rsidRDefault="000F52F9" w:rsidP="00106B3B">
      <w:pPr>
        <w:widowControl w:val="0"/>
        <w:autoSpaceDE w:val="0"/>
        <w:autoSpaceDN w:val="0"/>
        <w:adjustRightInd w:val="0"/>
        <w:jc w:val="both"/>
        <w:rPr>
          <w:rFonts w:ascii="Verdana" w:hAnsi="Verdana"/>
          <w:sz w:val="18"/>
          <w:szCs w:val="18"/>
          <w:lang w:val="en-GB"/>
        </w:rPr>
      </w:pPr>
      <w:r w:rsidRPr="00E03336">
        <w:rPr>
          <w:rFonts w:ascii="Verdana" w:hAnsi="Verdana"/>
          <w:sz w:val="18"/>
          <w:szCs w:val="18"/>
          <w:lang w:val="en-GB"/>
        </w:rPr>
        <w:t>Biswas D, Toebes B, Hjern A, Ascher H, Norredam M. Access to health care for undocumented migrants from a human rights perspective: a comparative study of Denmark, Sweden, and the Netherlands. Health and Human Rights 2012;14:2:49-60.</w:t>
      </w:r>
    </w:p>
    <w:p w:rsidR="000F52F9" w:rsidRPr="00E03336" w:rsidRDefault="000F52F9" w:rsidP="00106B3B">
      <w:pPr>
        <w:pStyle w:val="ListParagraph"/>
        <w:spacing w:after="0" w:line="240" w:lineRule="auto"/>
        <w:ind w:left="0"/>
        <w:jc w:val="both"/>
        <w:rPr>
          <w:rFonts w:ascii="Verdana" w:hAnsi="Verdana"/>
          <w:sz w:val="18"/>
          <w:szCs w:val="18"/>
          <w:lang w:val="en-GB"/>
        </w:rPr>
      </w:pPr>
      <w:r w:rsidRPr="00E03336">
        <w:rPr>
          <w:rFonts w:ascii="Verdana" w:hAnsi="Verdana"/>
          <w:sz w:val="18"/>
          <w:szCs w:val="18"/>
          <w:lang w:val="en-US"/>
        </w:rPr>
        <w:t xml:space="preserve">Committee on Civil Liberties, Justice and Home Affairs, Directorate General Internal Policies of the Union, European Parliament. </w:t>
      </w:r>
      <w:r w:rsidRPr="00E03336">
        <w:rPr>
          <w:rFonts w:ascii="Verdana" w:hAnsi="Verdana"/>
          <w:sz w:val="18"/>
          <w:szCs w:val="18"/>
          <w:lang w:val="en-GB"/>
        </w:rPr>
        <w:t xml:space="preserve">The conditions in centres for third country national (detention camps, open centres as well as transit centres and transit zones) with a particular focus on provisions and facilities for persons with special needs in the 25 EU member states. Study. Brussels: European Parliament, 2007. </w:t>
      </w:r>
    </w:p>
    <w:p w:rsidR="000F52F9" w:rsidRPr="00E03336" w:rsidRDefault="000F52F9" w:rsidP="00CE0E53">
      <w:pPr>
        <w:pStyle w:val="ListParagraph"/>
        <w:spacing w:after="0" w:line="240" w:lineRule="auto"/>
        <w:ind w:left="0"/>
        <w:jc w:val="both"/>
        <w:rPr>
          <w:rFonts w:ascii="Verdana" w:hAnsi="Verdana"/>
          <w:sz w:val="18"/>
          <w:szCs w:val="18"/>
          <w:lang w:val="en-GB" w:eastAsia="es-ES"/>
        </w:rPr>
      </w:pPr>
      <w:hyperlink r:id="rId13" w:history="1">
        <w:r w:rsidRPr="00E03336">
          <w:rPr>
            <w:rStyle w:val="Hyperlink"/>
            <w:rFonts w:ascii="Verdana" w:hAnsi="Verdana" w:cs="Tahoma"/>
            <w:sz w:val="18"/>
            <w:szCs w:val="18"/>
            <w:lang w:val="en-GB"/>
          </w:rPr>
          <w:t>http://www.aedh.eu/plugins/fckeditor/userfiles/file/Asile%20et%20immigration/Study_of_European_Parliament_about_detention_and_enferment_in_Europe.pdf</w:t>
        </w:r>
      </w:hyperlink>
      <w:r w:rsidRPr="00E03336">
        <w:rPr>
          <w:rFonts w:ascii="Verdana" w:hAnsi="Verdana"/>
          <w:sz w:val="18"/>
          <w:szCs w:val="18"/>
          <w:lang w:val="en-GB"/>
        </w:rPr>
        <w:t xml:space="preserve"> </w:t>
      </w:r>
      <w:r w:rsidRPr="00E03336">
        <w:rPr>
          <w:rFonts w:ascii="Verdana" w:hAnsi="Verdana"/>
          <w:sz w:val="18"/>
          <w:szCs w:val="18"/>
          <w:lang w:val="en-GB" w:eastAsia="es-ES"/>
        </w:rPr>
        <w:t>(retrieved: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Council of Europe, Commissioner for Human Rights. Human rights of Roma and Travellers in Europe. Strasbourg: Council of Europe, 2012. </w:t>
      </w:r>
    </w:p>
    <w:p w:rsidR="000F52F9" w:rsidRPr="00E03336" w:rsidRDefault="000F52F9" w:rsidP="00106B3B">
      <w:pPr>
        <w:pStyle w:val="FootnoteText"/>
        <w:jc w:val="both"/>
        <w:rPr>
          <w:rFonts w:ascii="Verdana" w:hAnsi="Verdana"/>
          <w:sz w:val="18"/>
          <w:szCs w:val="18"/>
          <w:lang w:val="en-GB"/>
        </w:rPr>
      </w:pPr>
      <w:hyperlink r:id="rId14" w:history="1">
        <w:r w:rsidRPr="00E03336">
          <w:rPr>
            <w:rStyle w:val="Hyperlink"/>
            <w:rFonts w:ascii="Verdana" w:hAnsi="Verdana"/>
            <w:sz w:val="18"/>
            <w:szCs w:val="18"/>
            <w:lang w:val="en-GB"/>
          </w:rPr>
          <w:t>http://www.coe.int/t/commissioner/source/prems/prems79611_GBR_CouvHumanRightsOfRoma_WEB.pdf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Council of Europe. Resolution 1701(2010). Detention of asylum seekers and irregular migrants in Europe. </w:t>
      </w:r>
      <w:hyperlink r:id="rId15" w:history="1">
        <w:r w:rsidRPr="00E03336">
          <w:rPr>
            <w:rStyle w:val="Hyperlink"/>
            <w:rFonts w:ascii="Verdana" w:hAnsi="Verdana"/>
            <w:sz w:val="18"/>
            <w:szCs w:val="18"/>
            <w:lang w:val="en-GB"/>
          </w:rPr>
          <w:t>http://assembly.coe.int/Mainf.asp?link=/Documents/AdoptedText/ta10/ERES1707.htm</w:t>
        </w:r>
      </w:hyperlink>
      <w:r w:rsidRPr="00E03336">
        <w:rPr>
          <w:rFonts w:ascii="Verdana" w:hAnsi="Verdana"/>
          <w:sz w:val="18"/>
          <w:szCs w:val="18"/>
          <w:lang w:val="en-GB"/>
        </w:rPr>
        <w:t xml:space="preserve">  (retrieved :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Cuadra BC. Right of access to health care for undocumented migrants in EU: a comparative study of national policies. Eur J Public Health 2011;22:267–271.</w:t>
      </w:r>
    </w:p>
    <w:p w:rsidR="000F52F9" w:rsidRPr="00E03336" w:rsidRDefault="000F52F9" w:rsidP="00106B3B">
      <w:pPr>
        <w:widowControl w:val="0"/>
        <w:autoSpaceDE w:val="0"/>
        <w:autoSpaceDN w:val="0"/>
        <w:adjustRightInd w:val="0"/>
        <w:jc w:val="both"/>
        <w:rPr>
          <w:rFonts w:ascii="Verdana" w:hAnsi="Verdana"/>
          <w:sz w:val="18"/>
          <w:szCs w:val="18"/>
          <w:lang w:val="en-GB"/>
        </w:rPr>
      </w:pPr>
      <w:r w:rsidRPr="00E03336">
        <w:rPr>
          <w:rFonts w:ascii="Verdana" w:hAnsi="Verdana"/>
          <w:sz w:val="18"/>
          <w:szCs w:val="18"/>
          <w:lang w:val="en-GB"/>
        </w:rPr>
        <w:t>Dauvrin M, Lorant V, Sandhu S, et al. Health care for irregular migrants: pragmatism across Europe. A qualitative study. BMC Res Notes 2012;5:99.</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Donabedian A. The quality of care. How can it be assessed? JAMA: The Journal of the American Medical Association 1988;260 (12): 1743–8.</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16" w:history="1">
        <w:r w:rsidRPr="00E03336">
          <w:rPr>
            <w:rStyle w:val="Hyperlink"/>
            <w:rFonts w:ascii="Verdana" w:hAnsi="Verdana"/>
            <w:sz w:val="18"/>
            <w:szCs w:val="18"/>
            <w:lang w:val="en-GB"/>
          </w:rPr>
          <w:t>http://irregular-migration.net/typo3_upload/groups/31/4.Background_Information/4.1.Methodology/EthicalIssuesIrregularMigration_Clandestino_Report_Nov09.pdf</w:t>
        </w:r>
      </w:hyperlink>
      <w:r w:rsidRPr="00E03336">
        <w:rPr>
          <w:rFonts w:ascii="Verdana" w:hAnsi="Verdana"/>
          <w:sz w:val="18"/>
          <w:szCs w:val="18"/>
          <w:lang w:val="en-GB"/>
        </w:rPr>
        <w:t xml:space="preserve"> (retrieved: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FRA, European Union Agency for Fundamental Rights. Fundamental Rights of Migrants in an Irregular Situation in the European Union. Luxembourg: Publications Office of the European Union, 2011a.</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 </w:t>
      </w:r>
      <w:hyperlink r:id="rId17" w:history="1">
        <w:r w:rsidRPr="00E03336">
          <w:rPr>
            <w:rStyle w:val="Hyperlink"/>
            <w:rFonts w:ascii="Verdana" w:hAnsi="Verdana"/>
            <w:sz w:val="18"/>
            <w:szCs w:val="18"/>
            <w:lang w:val="en-GB"/>
          </w:rPr>
          <w:t>http://fra.europa.eu/sites/default/files/fra_uploads/1827-FRA_2011_Migrants_in_an_irregular_situation_EN.pdf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FRA, European Union Agency for Fundamental Rights. Migrants in an Irregular Situation: Access to Health Care in 10 European Union Member States. Luxembourg: Publications Office of the European Union, 2011b. </w:t>
      </w:r>
    </w:p>
    <w:p w:rsidR="000F52F9" w:rsidRPr="00E03336" w:rsidRDefault="000F52F9" w:rsidP="00106B3B">
      <w:pPr>
        <w:pStyle w:val="FootnoteText"/>
        <w:jc w:val="both"/>
        <w:rPr>
          <w:rFonts w:ascii="Verdana" w:hAnsi="Verdana"/>
          <w:sz w:val="18"/>
          <w:szCs w:val="18"/>
          <w:lang w:val="en-GB"/>
        </w:rPr>
      </w:pPr>
      <w:hyperlink r:id="rId18" w:history="1">
        <w:r w:rsidRPr="00E03336">
          <w:rPr>
            <w:rStyle w:val="Hyperlink"/>
            <w:rFonts w:ascii="Verdana" w:hAnsi="Verdana"/>
            <w:sz w:val="18"/>
            <w:szCs w:val="18"/>
            <w:lang w:val="en-GB"/>
          </w:rPr>
          <w:t>http://fra.europa.eu/sites/default/files/fra_uploads/1771-FRA-2011-fundamental-rights-for-irregular-migrants-healthcare_EN.pdf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19" w:history="1">
        <w:r w:rsidRPr="00E03336">
          <w:rPr>
            <w:rStyle w:val="Hyperlink"/>
            <w:rFonts w:ascii="Verdana" w:hAnsi="Verdana"/>
            <w:sz w:val="18"/>
            <w:szCs w:val="18"/>
            <w:lang w:val="en-GB"/>
          </w:rPr>
          <w:t>http://fra.europa.eu/sites/default/files/fra_uploads/2099-FRA-2012-Roma-at-a-glance_EN.pdf</w:t>
        </w:r>
      </w:hyperlink>
      <w:r w:rsidRPr="00E03336">
        <w:rPr>
          <w:rFonts w:ascii="Verdana" w:hAnsi="Verdana"/>
          <w:sz w:val="18"/>
          <w:szCs w:val="18"/>
          <w:lang w:val="en-GB"/>
        </w:rPr>
        <w:t xml:space="preserve"> (retrieved: March 5, 2015). </w:t>
      </w:r>
    </w:p>
    <w:p w:rsidR="000F52F9" w:rsidRPr="00E03336" w:rsidRDefault="000F52F9" w:rsidP="00106B3B">
      <w:pPr>
        <w:widowControl w:val="0"/>
        <w:autoSpaceDE w:val="0"/>
        <w:autoSpaceDN w:val="0"/>
        <w:adjustRightInd w:val="0"/>
        <w:jc w:val="both"/>
        <w:rPr>
          <w:rFonts w:ascii="Verdana" w:hAnsi="Verdana"/>
          <w:sz w:val="18"/>
          <w:szCs w:val="18"/>
          <w:lang w:val="en-GB"/>
        </w:rPr>
      </w:pPr>
      <w:r w:rsidRPr="00E03336">
        <w:rPr>
          <w:rFonts w:ascii="Verdana" w:hAnsi="Verdana"/>
          <w:sz w:val="18"/>
          <w:szCs w:val="18"/>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20" w:history="1">
        <w:r w:rsidRPr="00E03336">
          <w:rPr>
            <w:rStyle w:val="Hyperlink"/>
            <w:rFonts w:ascii="Verdana" w:hAnsi="Verdana"/>
            <w:sz w:val="18"/>
            <w:szCs w:val="18"/>
            <w:lang w:val="en-GB"/>
          </w:rPr>
          <w:t>http://www.epim.info/wp-content/uploads/2011/02/HUMA-Publication-Comparative-Overview-16-Countries-2010.pdf</w:t>
        </w:r>
      </w:hyperlink>
      <w:r w:rsidRPr="00E03336">
        <w:rPr>
          <w:rFonts w:ascii="Verdana" w:hAnsi="Verdana"/>
          <w:sz w:val="18"/>
          <w:szCs w:val="18"/>
          <w:lang w:val="en-GB"/>
        </w:rPr>
        <w:t xml:space="preserve"> (retrieved: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Huschke S. Performing deservingness. Humanitarian health care provision for migrants in Germany. Social Science &amp; Medicine 2014;120:352-359.</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Ingleby D. European Research on Migration and Health. Background Paper. Brussels: IOM, International Organization for Migration, 2009. </w:t>
      </w:r>
    </w:p>
    <w:p w:rsidR="000F52F9" w:rsidRPr="00E03336" w:rsidRDefault="000F52F9" w:rsidP="00106B3B">
      <w:pPr>
        <w:pStyle w:val="FootnoteText"/>
        <w:jc w:val="both"/>
        <w:rPr>
          <w:rFonts w:ascii="Verdana" w:hAnsi="Verdana"/>
          <w:sz w:val="18"/>
          <w:szCs w:val="18"/>
          <w:lang w:val="en-GB"/>
        </w:rPr>
      </w:pPr>
      <w:hyperlink r:id="rId21" w:history="1">
        <w:r w:rsidRPr="00E03336">
          <w:rPr>
            <w:rStyle w:val="Hyperlink"/>
            <w:rFonts w:ascii="Verdana" w:hAnsi="Verdana"/>
            <w:sz w:val="18"/>
            <w:szCs w:val="18"/>
            <w:lang w:val="en-GB"/>
          </w:rPr>
          <w:t>http://www.migrant-health-europe.org/files/Research%20on%20Migrant%20Health_Background%20Paper.pdf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IOM, International Organization for Migration, WHO, World Health Organization; UNHRC, United Nations Human Rights Office of the High Commissioner. International Migration, Health and Human Rights. Geneva: IOM, 2013. </w:t>
      </w:r>
      <w:hyperlink r:id="rId22" w:history="1">
        <w:r w:rsidRPr="00E03336">
          <w:rPr>
            <w:rStyle w:val="Hyperlink"/>
            <w:rFonts w:ascii="Verdana" w:hAnsi="Verdana"/>
            <w:sz w:val="18"/>
            <w:szCs w:val="18"/>
            <w:lang w:val="en-GB"/>
          </w:rPr>
          <w:t>http://www.ohchr.org/Documents/Issues/Migration/WHO_IOM_UNOHCHRPublication.pdf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Jandu MB, Canuto de Medeiros B, Borugeault I, Tugwell P. The inclusion of migrants in health impact assessments: A scoping review. Environmental Impact Assessment Review 2015;50:16-24. </w:t>
      </w:r>
    </w:p>
    <w:p w:rsidR="000F52F9" w:rsidRPr="00E03336" w:rsidRDefault="000F52F9" w:rsidP="00106B3B">
      <w:pPr>
        <w:pStyle w:val="FootnoteText"/>
        <w:jc w:val="both"/>
        <w:rPr>
          <w:rFonts w:ascii="Verdana" w:hAnsi="Verdana"/>
          <w:sz w:val="18"/>
          <w:szCs w:val="18"/>
          <w:lang w:val="en-US"/>
        </w:rPr>
      </w:pPr>
      <w:r w:rsidRPr="00E03336">
        <w:rPr>
          <w:rFonts w:ascii="Verdana" w:hAnsi="Verdana"/>
          <w:sz w:val="18"/>
          <w:szCs w:val="18"/>
          <w:lang w:val="en-US"/>
        </w:rPr>
        <w:t xml:space="preserve">Jayaweera J. Health of Migrants in the UK: What Do We Know. Migration Observatory Briefing. COMPAS, University of Oxford, 2011.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JRS-Europe, Jesuit Refugee Service-Europe. Civil Society Report on the Detention of Vulnerable Asylum Seekers and Irregular Migrants in the European Union (The Devas Project). </w:t>
      </w:r>
      <w:r w:rsidRPr="00E03336">
        <w:rPr>
          <w:rFonts w:ascii="Verdana" w:hAnsi="Verdana"/>
          <w:sz w:val="18"/>
          <w:szCs w:val="18"/>
          <w:lang w:val="da-DK"/>
        </w:rPr>
        <w:t xml:space="preserve">Brussels: JRS-Europe, 2010. </w:t>
      </w:r>
      <w:hyperlink r:id="rId23" w:history="1">
        <w:r w:rsidRPr="00E03336">
          <w:rPr>
            <w:rStyle w:val="Hyperlink"/>
            <w:rFonts w:ascii="Verdana" w:hAnsi="Verdana"/>
            <w:sz w:val="18"/>
            <w:szCs w:val="18"/>
            <w:lang w:val="en-GB"/>
          </w:rPr>
          <w:t>http://www.detention-in-europe.org/images/stories/DEVAS/jrs-europe_becoming%20vulnerable%20in%20detention_june%202010_public_updated%20on%2012july10.pdf</w:t>
        </w:r>
      </w:hyperlink>
      <w:r w:rsidRPr="00E03336">
        <w:rPr>
          <w:rFonts w:ascii="Verdana" w:hAnsi="Verdana"/>
          <w:sz w:val="18"/>
          <w:szCs w:val="18"/>
          <w:lang w:val="en-GB"/>
        </w:rPr>
        <w:t xml:space="preserve"> (retrieved :  March 5, 2015). </w:t>
      </w:r>
    </w:p>
    <w:p w:rsidR="000F52F9" w:rsidRPr="00E03336" w:rsidRDefault="000F52F9" w:rsidP="00106B3B">
      <w:pPr>
        <w:widowControl w:val="0"/>
        <w:autoSpaceDE w:val="0"/>
        <w:autoSpaceDN w:val="0"/>
        <w:adjustRightInd w:val="0"/>
        <w:jc w:val="both"/>
        <w:rPr>
          <w:rFonts w:ascii="Verdana" w:hAnsi="Verdana"/>
          <w:sz w:val="18"/>
          <w:szCs w:val="18"/>
          <w:lang w:val="en-GB"/>
        </w:rPr>
      </w:pPr>
      <w:r w:rsidRPr="00E03336">
        <w:rPr>
          <w:rFonts w:ascii="Verdana" w:hAnsi="Verdana"/>
          <w:sz w:val="18"/>
          <w:szCs w:val="18"/>
          <w:lang w:val="en-GB"/>
        </w:rPr>
        <w:t>Karl-Trummer U, Novak-Zezula S. Health Care in Nowhereland, Improving Services for Undocumented Migrants in the EU. Vienna: Centre for Health and Migration, 2010.</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Keygnaert I, Guieu A, Ooms G, Vettenburg N, Temmerman M, Roelens K. Sexual and reproductive health of migrants: Does the EU care? Health Policies 2014;114:215-225.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Martin Y, Collet TH, Bodenmann P, Blum MR, Zimmerli L, Gaspoz JM, Battegay E, Cornuz J, Rodondi N. The lower quality of preventive care among forced migrants in a country with universal healthcare coverage. Preventive Medicine 2014;59:19-24.</w:t>
      </w:r>
    </w:p>
    <w:p w:rsidR="000F52F9" w:rsidRPr="00E03336" w:rsidRDefault="000F52F9" w:rsidP="00106B3B">
      <w:pPr>
        <w:widowControl w:val="0"/>
        <w:autoSpaceDE w:val="0"/>
        <w:autoSpaceDN w:val="0"/>
        <w:adjustRightInd w:val="0"/>
        <w:jc w:val="both"/>
        <w:rPr>
          <w:rFonts w:ascii="Verdana" w:hAnsi="Verdana"/>
          <w:sz w:val="18"/>
          <w:szCs w:val="18"/>
          <w:lang w:val="fr-FR"/>
        </w:rPr>
      </w:pPr>
      <w:r w:rsidRPr="00E03336">
        <w:rPr>
          <w:rFonts w:ascii="Verdana" w:hAnsi="Verdana"/>
          <w:sz w:val="18"/>
          <w:szCs w:val="18"/>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E03336">
        <w:rPr>
          <w:rFonts w:ascii="Verdana" w:hAnsi="Verdana"/>
          <w:sz w:val="18"/>
          <w:szCs w:val="18"/>
          <w:lang w:val="fr-FR"/>
        </w:rPr>
        <w:t xml:space="preserve">Paris: Médicins du Monde, 2013. </w:t>
      </w:r>
      <w:hyperlink r:id="rId24" w:history="1">
        <w:r w:rsidRPr="00E03336">
          <w:rPr>
            <w:rStyle w:val="Hyperlink"/>
            <w:rFonts w:ascii="Verdana" w:hAnsi="Verdana"/>
            <w:sz w:val="18"/>
            <w:szCs w:val="18"/>
            <w:lang w:val="fr-FR"/>
          </w:rPr>
          <w:t>http://b.3cdn.net/droftheworld/d137240498b91ca33e_jhm62yjg1.pdf</w:t>
        </w:r>
      </w:hyperlink>
      <w:r w:rsidRPr="00E03336">
        <w:rPr>
          <w:rFonts w:ascii="Verdana" w:hAnsi="Verdana"/>
          <w:sz w:val="18"/>
          <w:szCs w:val="18"/>
          <w:lang w:val="fr-FR"/>
        </w:rPr>
        <w:t xml:space="preserve"> </w:t>
      </w:r>
      <w:r w:rsidRPr="00E03336">
        <w:rPr>
          <w:rFonts w:ascii="Verdana" w:hAnsi="Verdana"/>
          <w:bCs/>
          <w:sz w:val="18"/>
          <w:szCs w:val="18"/>
          <w:lang w:val="fr-FR"/>
        </w:rPr>
        <w:t>(retrieved: March 5, 2015).</w:t>
      </w:r>
    </w:p>
    <w:p w:rsidR="000F52F9" w:rsidRPr="00E03336" w:rsidRDefault="000F52F9" w:rsidP="00106B3B">
      <w:pPr>
        <w:widowControl w:val="0"/>
        <w:autoSpaceDE w:val="0"/>
        <w:autoSpaceDN w:val="0"/>
        <w:adjustRightInd w:val="0"/>
        <w:jc w:val="both"/>
        <w:rPr>
          <w:rFonts w:ascii="Verdana" w:hAnsi="Verdana"/>
          <w:sz w:val="18"/>
          <w:szCs w:val="18"/>
          <w:lang w:val="en-GB"/>
        </w:rPr>
      </w:pPr>
      <w:r w:rsidRPr="00E03336">
        <w:rPr>
          <w:rFonts w:ascii="Verdana" w:hAnsi="Verdana"/>
          <w:sz w:val="18"/>
          <w:szCs w:val="18"/>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E03336">
        <w:rPr>
          <w:rFonts w:ascii="Verdana" w:hAnsi="Verdana"/>
          <w:sz w:val="18"/>
          <w:szCs w:val="18"/>
          <w:lang w:val="fr-FR"/>
        </w:rPr>
        <w:t xml:space="preserve">Paris: Médicins du Monde, 2013. </w:t>
      </w:r>
      <w:hyperlink r:id="rId25" w:history="1">
        <w:r w:rsidRPr="00E03336">
          <w:rPr>
            <w:rStyle w:val="Hyperlink"/>
            <w:rFonts w:ascii="Verdana" w:hAnsi="Verdana"/>
            <w:sz w:val="18"/>
            <w:szCs w:val="18"/>
            <w:lang w:val="en-GB"/>
          </w:rPr>
          <w:t>http://b.3cdn.net/droftheworld/d137240498b91ca33e_jhm62yjg1.pdf</w:t>
        </w:r>
      </w:hyperlink>
      <w:r w:rsidRPr="00E03336">
        <w:rPr>
          <w:rFonts w:ascii="Verdana" w:hAnsi="Verdana"/>
          <w:sz w:val="18"/>
          <w:szCs w:val="18"/>
          <w:lang w:val="en-GB"/>
        </w:rPr>
        <w:t xml:space="preserve"> </w:t>
      </w:r>
      <w:r w:rsidRPr="00E03336">
        <w:rPr>
          <w:rFonts w:ascii="Verdana" w:hAnsi="Verdana"/>
          <w:bCs/>
          <w:sz w:val="18"/>
          <w:szCs w:val="18"/>
          <w:lang w:val="en-GB"/>
        </w:rPr>
        <w:t>(retrieved: March 5, 2015).</w:t>
      </w:r>
    </w:p>
    <w:p w:rsidR="000F52F9" w:rsidRPr="00E03336" w:rsidRDefault="000F52F9" w:rsidP="00106B3B">
      <w:pPr>
        <w:widowControl w:val="0"/>
        <w:autoSpaceDE w:val="0"/>
        <w:autoSpaceDN w:val="0"/>
        <w:adjustRightInd w:val="0"/>
        <w:jc w:val="both"/>
        <w:rPr>
          <w:rFonts w:ascii="Verdana" w:hAnsi="Verdana"/>
          <w:sz w:val="18"/>
          <w:szCs w:val="18"/>
          <w:lang w:val="fr-FR"/>
        </w:rPr>
      </w:pPr>
      <w:r w:rsidRPr="00E03336">
        <w:rPr>
          <w:rFonts w:ascii="Verdana" w:hAnsi="Verdana"/>
          <w:sz w:val="18"/>
          <w:szCs w:val="18"/>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E03336">
        <w:rPr>
          <w:rFonts w:ascii="Verdana" w:hAnsi="Verdana"/>
          <w:sz w:val="18"/>
          <w:szCs w:val="18"/>
          <w:lang w:val="fr-FR"/>
        </w:rPr>
        <w:t xml:space="preserve">Paris: Médicins du Monde, 2012. </w:t>
      </w:r>
    </w:p>
    <w:p w:rsidR="000F52F9" w:rsidRPr="00E03336" w:rsidRDefault="000F52F9" w:rsidP="00106B3B">
      <w:pPr>
        <w:widowControl w:val="0"/>
        <w:autoSpaceDE w:val="0"/>
        <w:autoSpaceDN w:val="0"/>
        <w:adjustRightInd w:val="0"/>
        <w:jc w:val="both"/>
        <w:rPr>
          <w:rFonts w:ascii="Verdana" w:hAnsi="Verdana"/>
          <w:sz w:val="18"/>
          <w:szCs w:val="18"/>
          <w:lang w:val="fr-FR"/>
        </w:rPr>
      </w:pPr>
      <w:hyperlink r:id="rId26" w:history="1">
        <w:r w:rsidRPr="00E03336">
          <w:rPr>
            <w:rStyle w:val="Hyperlink"/>
            <w:rFonts w:ascii="Verdana" w:hAnsi="Verdana"/>
            <w:sz w:val="18"/>
            <w:szCs w:val="18"/>
            <w:lang w:val="fr-FR"/>
          </w:rPr>
          <w:t>http://www.doktersvandewereld.be/sites/www.doktersvandewereld.be/files/publicatie/attachments/eu_vulnerable_groups_2012_mdm.pdf</w:t>
        </w:r>
      </w:hyperlink>
      <w:r w:rsidRPr="00E03336">
        <w:rPr>
          <w:rFonts w:ascii="Verdana" w:hAnsi="Verdana"/>
          <w:sz w:val="18"/>
          <w:szCs w:val="18"/>
          <w:lang w:val="fr-FR"/>
        </w:rPr>
        <w:t xml:space="preserve"> </w:t>
      </w:r>
      <w:r w:rsidRPr="00E03336">
        <w:rPr>
          <w:rFonts w:ascii="Verdana" w:hAnsi="Verdana"/>
          <w:bCs/>
          <w:sz w:val="18"/>
          <w:szCs w:val="18"/>
          <w:lang w:val="fr-FR"/>
        </w:rPr>
        <w:t>(retrieved: March 5, 2015).</w:t>
      </w:r>
    </w:p>
    <w:p w:rsidR="000F52F9" w:rsidRPr="00E03336" w:rsidRDefault="000F52F9" w:rsidP="00106B3B">
      <w:pPr>
        <w:widowControl w:val="0"/>
        <w:autoSpaceDE w:val="0"/>
        <w:autoSpaceDN w:val="0"/>
        <w:adjustRightInd w:val="0"/>
        <w:jc w:val="both"/>
        <w:rPr>
          <w:rFonts w:ascii="Verdana" w:hAnsi="Verdana"/>
          <w:sz w:val="18"/>
          <w:szCs w:val="18"/>
          <w:lang w:val="fr-FR"/>
        </w:rPr>
      </w:pPr>
      <w:r w:rsidRPr="00E03336">
        <w:rPr>
          <w:rFonts w:ascii="Verdana" w:hAnsi="Verdana"/>
          <w:sz w:val="18"/>
          <w:szCs w:val="18"/>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E03336">
        <w:rPr>
          <w:rFonts w:ascii="Verdana" w:hAnsi="Verdana"/>
          <w:sz w:val="18"/>
          <w:szCs w:val="18"/>
          <w:lang w:val="fr-FR"/>
        </w:rPr>
        <w:t>Paris: Médicins du Monde, 2012.</w:t>
      </w:r>
    </w:p>
    <w:p w:rsidR="000F52F9" w:rsidRPr="00E03336" w:rsidRDefault="000F52F9" w:rsidP="00106B3B">
      <w:pPr>
        <w:widowControl w:val="0"/>
        <w:autoSpaceDE w:val="0"/>
        <w:autoSpaceDN w:val="0"/>
        <w:adjustRightInd w:val="0"/>
        <w:jc w:val="both"/>
        <w:rPr>
          <w:rFonts w:ascii="Verdana" w:hAnsi="Verdana"/>
          <w:sz w:val="18"/>
          <w:szCs w:val="18"/>
          <w:lang w:val="en-GB"/>
        </w:rPr>
      </w:pPr>
      <w:hyperlink r:id="rId27" w:history="1">
        <w:r w:rsidRPr="00E03336">
          <w:rPr>
            <w:rStyle w:val="Hyperlink"/>
            <w:rFonts w:ascii="Verdana" w:hAnsi="Verdana"/>
            <w:sz w:val="18"/>
            <w:szCs w:val="18"/>
            <w:lang w:val="en-GB"/>
          </w:rPr>
          <w:t>http://www.doktersvandewereld.be/sites/www.doktersvandewereld.be/files/publicatie/attachments/eu_vulnerable_groups_2012_mdm.pdf</w:t>
        </w:r>
      </w:hyperlink>
      <w:r w:rsidRPr="00E03336">
        <w:rPr>
          <w:rFonts w:ascii="Verdana" w:hAnsi="Verdana"/>
          <w:sz w:val="18"/>
          <w:szCs w:val="18"/>
          <w:lang w:val="en-GB"/>
        </w:rPr>
        <w:t xml:space="preserve"> </w:t>
      </w:r>
      <w:r w:rsidRPr="00E03336">
        <w:rPr>
          <w:rFonts w:ascii="Verdana" w:hAnsi="Verdana"/>
          <w:bCs/>
          <w:sz w:val="18"/>
          <w:szCs w:val="18"/>
          <w:lang w:val="en-GB"/>
        </w:rPr>
        <w:t>(retrieved: March 5, 2015).</w:t>
      </w:r>
    </w:p>
    <w:p w:rsidR="000F52F9" w:rsidRPr="00E03336" w:rsidRDefault="000F52F9" w:rsidP="00106B3B">
      <w:pPr>
        <w:widowControl w:val="0"/>
        <w:autoSpaceDE w:val="0"/>
        <w:autoSpaceDN w:val="0"/>
        <w:adjustRightInd w:val="0"/>
        <w:jc w:val="both"/>
        <w:rPr>
          <w:rFonts w:ascii="Verdana" w:hAnsi="Verdana"/>
          <w:sz w:val="18"/>
          <w:szCs w:val="18"/>
          <w:lang w:val="fr-FR"/>
        </w:rPr>
      </w:pPr>
      <w:r w:rsidRPr="00E03336">
        <w:rPr>
          <w:rFonts w:ascii="Verdana" w:hAnsi="Verdana"/>
          <w:sz w:val="18"/>
          <w:szCs w:val="18"/>
          <w:lang w:val="en-GB"/>
        </w:rPr>
        <w:t xml:space="preserve">Médicins du Monde (Doctors of the World), European Observatory on Access to Health Care, Chauvin P, Parizot I, Simonnot N. Access to Health Care for Undocumented Migrants in 11 European Countries. </w:t>
      </w:r>
      <w:r w:rsidRPr="00E03336">
        <w:rPr>
          <w:rFonts w:ascii="Verdana" w:hAnsi="Verdana"/>
          <w:sz w:val="18"/>
          <w:szCs w:val="18"/>
          <w:lang w:val="fr-FR"/>
        </w:rPr>
        <w:t xml:space="preserve">Paris: Médicins du Monde, 2009. . </w:t>
      </w:r>
      <w:hyperlink r:id="rId28" w:history="1">
        <w:r w:rsidRPr="00E03336">
          <w:rPr>
            <w:rStyle w:val="Hyperlink"/>
            <w:rFonts w:ascii="Verdana" w:hAnsi="Verdana"/>
            <w:sz w:val="18"/>
            <w:szCs w:val="18"/>
            <w:lang w:val="fr-FR"/>
          </w:rPr>
          <w:t>http://mdmgreece.gr/attachments/283_huma%20en.pdf</w:t>
        </w:r>
      </w:hyperlink>
      <w:r w:rsidRPr="00E03336">
        <w:rPr>
          <w:rFonts w:ascii="Verdana" w:hAnsi="Verdana"/>
          <w:sz w:val="18"/>
          <w:szCs w:val="18"/>
          <w:lang w:val="fr-FR"/>
        </w:rPr>
        <w:t xml:space="preserve"> </w:t>
      </w:r>
      <w:r w:rsidRPr="00E03336">
        <w:rPr>
          <w:rFonts w:ascii="Verdana" w:hAnsi="Verdana"/>
          <w:bCs/>
          <w:sz w:val="18"/>
          <w:szCs w:val="18"/>
          <w:lang w:val="fr-FR"/>
        </w:rPr>
        <w:t>(retrieved: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Médicins Sans Frontieres. Migrants, refugees and asylum seekers: Vulnerable people at Europe’s doorstep, s.a. </w:t>
      </w:r>
      <w:hyperlink r:id="rId29" w:history="1">
        <w:r w:rsidRPr="00E03336">
          <w:rPr>
            <w:rStyle w:val="Hyperlink"/>
            <w:rFonts w:ascii="Verdana" w:hAnsi="Verdana"/>
            <w:sz w:val="18"/>
            <w:szCs w:val="18"/>
            <w:lang w:val="en-GB"/>
          </w:rPr>
          <w:t>http://www.doctorswithoutborders.org/sites/usa/files/MSF-Migrants-Refugees-AsslymSeekers.pdf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Mladovsky P. Migration and health in the EU. London: LSE Research Note, 2007.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Mladovsky P. A framework for analysing migrant health policies in Europe. Health Policy 2009;93:55-63.</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Mladovsky P, Rechel B, Ingleby D, McKee M. Responding to diversity: An exploratory study of migrant health policies in Europe. Health Policy 2012;105:1-9. </w:t>
      </w:r>
    </w:p>
    <w:p w:rsidR="000F52F9" w:rsidRPr="00E03336" w:rsidRDefault="000F52F9" w:rsidP="005655DF">
      <w:pPr>
        <w:pStyle w:val="FootnoteText"/>
        <w:jc w:val="both"/>
        <w:rPr>
          <w:rFonts w:ascii="Verdana" w:hAnsi="Verdana"/>
          <w:sz w:val="18"/>
          <w:szCs w:val="18"/>
          <w:lang w:val="en-GB"/>
        </w:rPr>
      </w:pPr>
      <w:r w:rsidRPr="00E03336">
        <w:rPr>
          <w:rFonts w:ascii="Verdana" w:hAnsi="Verdana"/>
          <w:sz w:val="18"/>
          <w:szCs w:val="18"/>
          <w:lang w:val="en-GB"/>
        </w:rPr>
        <w:t xml:space="preserve">Mock-Muñoz de Luna C, Ingleby D, Graval E, Krasnik A. Synthesis Report. MEM-TP, Training packages for health professionals to improve access and quality of health services for migrants and ethnic minorities, including the Roma. Granada, Copenhagen: Andalusian School of Public Health, University of Copenhagen, 2015a. </w:t>
      </w:r>
    </w:p>
    <w:p w:rsidR="000F52F9" w:rsidRPr="00E03336" w:rsidRDefault="000F52F9" w:rsidP="005655DF">
      <w:pPr>
        <w:pStyle w:val="FootnoteText"/>
        <w:jc w:val="both"/>
        <w:rPr>
          <w:rFonts w:ascii="Verdana" w:hAnsi="Verdana"/>
          <w:sz w:val="18"/>
          <w:szCs w:val="18"/>
          <w:lang w:val="en-GB"/>
        </w:rPr>
      </w:pPr>
      <w:hyperlink r:id="rId30" w:history="1">
        <w:r w:rsidRPr="00E03336">
          <w:rPr>
            <w:rStyle w:val="Hyperlink"/>
            <w:rFonts w:ascii="Verdana" w:hAnsi="Verdana"/>
            <w:sz w:val="18"/>
            <w:szCs w:val="18"/>
            <w:lang w:val="en-GB"/>
          </w:rPr>
          <w:t>http://www.mem-tp.org/pluginfile.php/619/mod_resource/content/1/MEM-TP_Synthesis_Report.pdf</w:t>
        </w:r>
      </w:hyperlink>
      <w:r w:rsidRPr="00E03336">
        <w:rPr>
          <w:rFonts w:ascii="Verdana" w:hAnsi="Verdana"/>
          <w:sz w:val="18"/>
          <w:szCs w:val="18"/>
          <w:lang w:val="en-GB"/>
        </w:rPr>
        <w:t xml:space="preserve"> (retrieved: March 5, 2015). </w:t>
      </w:r>
    </w:p>
    <w:p w:rsidR="000F52F9" w:rsidRPr="00E03336" w:rsidRDefault="000F52F9" w:rsidP="005655DF">
      <w:pPr>
        <w:pStyle w:val="FootnoteText"/>
        <w:jc w:val="both"/>
        <w:rPr>
          <w:rFonts w:ascii="Verdana" w:hAnsi="Verdana"/>
          <w:sz w:val="18"/>
          <w:szCs w:val="18"/>
          <w:lang w:val="en-GB"/>
        </w:rPr>
      </w:pPr>
      <w:r w:rsidRPr="00E03336">
        <w:rPr>
          <w:rFonts w:ascii="Verdana" w:hAnsi="Verdana"/>
          <w:sz w:val="18"/>
          <w:szCs w:val="18"/>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p>
    <w:p w:rsidR="000F52F9" w:rsidRPr="00E03336" w:rsidRDefault="000F52F9" w:rsidP="005655DF">
      <w:pPr>
        <w:pStyle w:val="FootnoteText"/>
        <w:jc w:val="both"/>
        <w:rPr>
          <w:rFonts w:ascii="Verdana" w:hAnsi="Verdana"/>
          <w:sz w:val="18"/>
          <w:szCs w:val="18"/>
          <w:lang w:val="en-GB"/>
        </w:rPr>
      </w:pPr>
      <w:hyperlink r:id="rId31" w:history="1">
        <w:r w:rsidRPr="00E03336">
          <w:rPr>
            <w:rStyle w:val="Hyperlink"/>
            <w:rFonts w:ascii="Verdana" w:hAnsi="Verdana"/>
            <w:sz w:val="18"/>
            <w:szCs w:val="18"/>
            <w:lang w:val="en-GB"/>
          </w:rPr>
          <w:t>http://www.mem-tp.org/pluginfile.php/620/mod_resource/content/1/MEM-TP_Synthesis_Report_Appendices_I-VI.pdf</w:t>
        </w:r>
      </w:hyperlink>
      <w:r w:rsidRPr="00E03336">
        <w:rPr>
          <w:rFonts w:ascii="Verdana" w:hAnsi="Verdana"/>
          <w:sz w:val="18"/>
          <w:szCs w:val="18"/>
          <w:lang w:val="en-GB"/>
        </w:rPr>
        <w:t xml:space="preserve"> (retrieved: March 5, 2015).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Molnár Á, Ádány R, Ádám B, Gulis G, Kósa K. Health impact assessment and evaluation of a Roma housing project. Health &amp; Place 2010;16:1240-1247.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Penka S, Kluge U, Vardar A, Borde T, Ingleby D. The concept of “intercultural opening”: the development of an assessment tool for the appraisal of its current implementation in the mental health care system. European Psychiatry 2012;27:563-569.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PICUM, Platform for International Cooperation on Undocumented Migrants. Access to Health Care for Undocumented Migrants in Europe: The Key Role of Local and Regional Authorities. Brussels: PICUM, 2014. </w:t>
      </w:r>
      <w:hyperlink r:id="rId32" w:history="1">
        <w:r w:rsidRPr="00E03336">
          <w:rPr>
            <w:rStyle w:val="Hyperlink"/>
            <w:rFonts w:ascii="Verdana" w:hAnsi="Verdana"/>
            <w:sz w:val="18"/>
            <w:szCs w:val="18"/>
            <w:lang w:val="en-GB"/>
          </w:rPr>
          <w:t>http://picum.org/picum.org/uploads/publication/PolicyBrief_Local%20and%20Regional%20Authorities_AccessHealthCare_UndocumentedMigrants_Oct.2014.pdf</w:t>
        </w:r>
      </w:hyperlink>
      <w:r w:rsidRPr="00E03336">
        <w:rPr>
          <w:rFonts w:ascii="Verdana" w:hAnsi="Verdana"/>
          <w:sz w:val="18"/>
          <w:szCs w:val="18"/>
          <w:lang w:val="en-GB"/>
        </w:rPr>
        <w:t xml:space="preserve"> </w:t>
      </w:r>
      <w:r w:rsidRPr="00E03336">
        <w:rPr>
          <w:rFonts w:ascii="Verdana" w:hAnsi="Verdana"/>
          <w:bCs/>
          <w:sz w:val="18"/>
          <w:szCs w:val="18"/>
          <w:lang w:val="en-GB"/>
        </w:rPr>
        <w:t>(retrieved: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Rechel B, Mladovsky P, Devillé W. Monitoring migrant health in Europe: A narrative review of data collection practices. Health Policy 2012;105:10-16.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Riccardo F, Dente MG, Kojouharova M, Fabiani M, Alfonsi V, Kurchatova A, Vladimirova N, Declich S. Migrant’s access to immunization in Mediterranean Countries. Health Policy 2012;105:17-24.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 xml:space="preserve">Sime D. ‘I think that Polish doctors are better’: Newly arrived migrant children and their parents’ experiences and views of health services in Scotland. Health &amp; Place 2014;30:86-93. </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US"/>
        </w:rPr>
        <w:t>Stronks K, Glasgow IK, Lazinga N. The identification of ethnic groups in health research, additional to the country of birth classification. Amsterdam: University of Amsterdam, Department of Social Medicin, 2004.</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0F52F9" w:rsidRPr="00E03336" w:rsidRDefault="000F52F9" w:rsidP="00107FA9">
      <w:pPr>
        <w:pStyle w:val="FootnoteText"/>
        <w:jc w:val="both"/>
        <w:rPr>
          <w:rFonts w:ascii="Verdana" w:hAnsi="Verdana"/>
          <w:sz w:val="18"/>
          <w:szCs w:val="18"/>
          <w:lang w:val="en-GB"/>
        </w:rPr>
      </w:pPr>
      <w:r w:rsidRPr="00E03336">
        <w:rPr>
          <w:rFonts w:ascii="Verdana" w:hAnsi="Verdana"/>
          <w:sz w:val="18"/>
          <w:szCs w:val="18"/>
          <w:lang w:val="en-GB"/>
        </w:rPr>
        <w:t xml:space="preserve">UN, United Nations, CECSR, Committee on Economic, Cultural and Social Rights. General Comment Nº 14 (2000). The right to the highest attainable standard of health, 2000, p. 1-4. </w:t>
      </w:r>
    </w:p>
    <w:p w:rsidR="000F52F9" w:rsidRPr="00E03336" w:rsidRDefault="000F52F9" w:rsidP="00107FA9">
      <w:pPr>
        <w:pStyle w:val="FootnoteText"/>
        <w:jc w:val="both"/>
        <w:rPr>
          <w:rFonts w:ascii="Verdana" w:hAnsi="Verdana"/>
          <w:sz w:val="18"/>
          <w:szCs w:val="18"/>
          <w:lang w:val="en-GB"/>
        </w:rPr>
      </w:pPr>
      <w:hyperlink r:id="rId33" w:history="1">
        <w:r w:rsidRPr="00E03336">
          <w:rPr>
            <w:rStyle w:val="Hyperlink"/>
            <w:rFonts w:ascii="Verdana" w:hAnsi="Verdana"/>
            <w:sz w:val="18"/>
            <w:szCs w:val="18"/>
            <w:lang w:val="en-GB"/>
          </w:rPr>
          <w:t>http://tbinternet.ohchr.org/_layouts/treatybodyexternal/TBSearch.aspx?Lang=en&amp;TreatyID=9&amp;DocTypeID=11</w:t>
        </w:r>
      </w:hyperlink>
      <w:r w:rsidRPr="00E03336">
        <w:rPr>
          <w:rFonts w:ascii="Verdana" w:hAnsi="Verdana"/>
          <w:sz w:val="18"/>
          <w:szCs w:val="18"/>
          <w:lang w:val="en-GB"/>
        </w:rPr>
        <w:t xml:space="preserve"> (retrieved: March 5, 2015). </w:t>
      </w:r>
    </w:p>
    <w:p w:rsidR="000F52F9" w:rsidRPr="00E03336" w:rsidRDefault="000F52F9" w:rsidP="00CE0E53">
      <w:pPr>
        <w:pStyle w:val="ListParagraph"/>
        <w:spacing w:after="0" w:line="240" w:lineRule="auto"/>
        <w:ind w:left="0"/>
        <w:jc w:val="both"/>
        <w:rPr>
          <w:rFonts w:ascii="Verdana" w:hAnsi="Verdana"/>
          <w:sz w:val="18"/>
          <w:szCs w:val="18"/>
          <w:lang w:val="en-GB" w:eastAsia="es-ES"/>
        </w:rPr>
      </w:pPr>
      <w:r w:rsidRPr="00E03336">
        <w:rPr>
          <w:rFonts w:ascii="Verdana" w:hAnsi="Verdana"/>
          <w:sz w:val="18"/>
          <w:szCs w:val="18"/>
          <w:lang w:val="en-GB" w:eastAsia="es-ES"/>
        </w:rPr>
        <w:t xml:space="preserve">UN, United Nations, Human Rights Council. Report of the Special Rapporteur on the human rights of migrants, Detention of migrants in an irregular situation. </w:t>
      </w:r>
      <w:r w:rsidRPr="00E03336">
        <w:rPr>
          <w:rFonts w:ascii="Verdana" w:hAnsi="Verdana"/>
          <w:sz w:val="18"/>
          <w:szCs w:val="18"/>
          <w:lang w:val="fr-FR" w:eastAsia="es-ES"/>
        </w:rPr>
        <w:t xml:space="preserve">François Crépeau, 2012. </w:t>
      </w:r>
      <w:hyperlink r:id="rId34" w:history="1">
        <w:r w:rsidRPr="00E03336">
          <w:rPr>
            <w:rStyle w:val="Hyperlink"/>
            <w:rFonts w:ascii="Verdana" w:hAnsi="Verdana"/>
            <w:sz w:val="18"/>
            <w:szCs w:val="18"/>
            <w:lang w:val="en-GB" w:eastAsia="es-ES"/>
          </w:rPr>
          <w:t>http://daccess-dds-ny.un.org/doc/UNDOC/GEN/G12/125/96/PDF/G1212596.pdf?OpenElement</w:t>
        </w:r>
      </w:hyperlink>
      <w:r w:rsidRPr="00E03336">
        <w:rPr>
          <w:rFonts w:ascii="Verdana" w:hAnsi="Verdana"/>
          <w:sz w:val="18"/>
          <w:szCs w:val="18"/>
          <w:lang w:val="en-GB" w:eastAsia="es-ES"/>
        </w:rPr>
        <w:t xml:space="preserve">  (retrieved: March 5, 2015).</w:t>
      </w:r>
    </w:p>
    <w:p w:rsidR="000F52F9" w:rsidRPr="00E03336" w:rsidRDefault="000F52F9" w:rsidP="00106B3B">
      <w:pPr>
        <w:pStyle w:val="ListParagraph"/>
        <w:spacing w:after="0" w:line="240" w:lineRule="auto"/>
        <w:ind w:left="0"/>
        <w:jc w:val="both"/>
        <w:rPr>
          <w:rFonts w:ascii="Verdana" w:hAnsi="Verdana"/>
          <w:sz w:val="18"/>
          <w:szCs w:val="18"/>
          <w:lang w:val="en-GB"/>
        </w:rPr>
      </w:pPr>
      <w:r w:rsidRPr="00E03336">
        <w:rPr>
          <w:rFonts w:ascii="Verdana" w:hAnsi="Verdana"/>
          <w:sz w:val="18"/>
          <w:szCs w:val="18"/>
          <w:lang w:val="en-GB" w:eastAsia="es-ES"/>
        </w:rPr>
        <w:t xml:space="preserve">UN, United Nations, Human Rights Council. </w:t>
      </w:r>
      <w:r w:rsidRPr="00E03336">
        <w:rPr>
          <w:rFonts w:ascii="Verdana" w:hAnsi="Verdana"/>
          <w:sz w:val="18"/>
          <w:szCs w:val="18"/>
          <w:lang w:val="en-GB"/>
        </w:rPr>
        <w:t xml:space="preserve">Report of the Special Rapporteur on the human rights of migrants, François Crépeau, Regional study: management of the external borders of the European Union and its impact on the human rights of migrants, 2012. </w:t>
      </w:r>
    </w:p>
    <w:p w:rsidR="000F52F9" w:rsidRPr="00E03336" w:rsidRDefault="000F52F9" w:rsidP="00106B3B">
      <w:pPr>
        <w:pStyle w:val="ListParagraph"/>
        <w:spacing w:after="0" w:line="240" w:lineRule="auto"/>
        <w:ind w:left="0"/>
        <w:jc w:val="both"/>
        <w:rPr>
          <w:rFonts w:ascii="Verdana" w:hAnsi="Verdana"/>
          <w:sz w:val="18"/>
          <w:szCs w:val="18"/>
          <w:lang w:val="en-GB"/>
        </w:rPr>
      </w:pPr>
      <w:hyperlink r:id="rId35" w:history="1">
        <w:r w:rsidRPr="00E03336">
          <w:rPr>
            <w:rStyle w:val="Hyperlink"/>
            <w:rFonts w:ascii="Verdana" w:hAnsi="Verdana"/>
            <w:sz w:val="18"/>
            <w:szCs w:val="18"/>
            <w:lang w:val="en-GB"/>
          </w:rPr>
          <w:t>http://www.ohchr.org/Documents/HRBodies/HRCouncil/RegularSession/Session23/A.HRC.23.46_en.pdf</w:t>
        </w:r>
      </w:hyperlink>
      <w:r w:rsidRPr="00E03336">
        <w:rPr>
          <w:rFonts w:ascii="Verdana" w:hAnsi="Verdana"/>
          <w:sz w:val="18"/>
          <w:szCs w:val="18"/>
          <w:lang w:val="en-GB"/>
        </w:rPr>
        <w:t xml:space="preserve"> </w:t>
      </w:r>
      <w:r w:rsidRPr="00E03336">
        <w:rPr>
          <w:rFonts w:ascii="Verdana" w:hAnsi="Verdana"/>
          <w:sz w:val="18"/>
          <w:szCs w:val="18"/>
          <w:lang w:val="en-GB" w:eastAsia="es-ES"/>
        </w:rPr>
        <w:t>(retrieved: March 5, 2015).</w:t>
      </w:r>
    </w:p>
    <w:p w:rsidR="000F52F9" w:rsidRPr="00E03336" w:rsidRDefault="000F52F9" w:rsidP="00106B3B">
      <w:pPr>
        <w:pStyle w:val="FootnoteText"/>
        <w:jc w:val="both"/>
        <w:rPr>
          <w:rFonts w:ascii="Verdana" w:hAnsi="Verdana"/>
          <w:sz w:val="18"/>
          <w:szCs w:val="18"/>
          <w:lang w:val="en-GB"/>
        </w:rPr>
      </w:pPr>
      <w:r w:rsidRPr="00E03336">
        <w:rPr>
          <w:rFonts w:ascii="Verdana" w:hAnsi="Verdana"/>
          <w:sz w:val="18"/>
          <w:szCs w:val="18"/>
        </w:rPr>
        <w:t xml:space="preserve">Vázquez ML, Terraza-Núñez R, S-Hernández S, Vargas I, Bosch L, González A, et al. </w:t>
      </w:r>
      <w:r w:rsidRPr="00E03336">
        <w:rPr>
          <w:rFonts w:ascii="Verdana" w:hAnsi="Verdana"/>
          <w:sz w:val="18"/>
          <w:szCs w:val="18"/>
          <w:lang w:val="en-GB"/>
        </w:rPr>
        <w:t>Are migrants health policies aimed at improving access to quality healthcare? An analysis of Spanish policies. Health Policy 2013;113:236-246.</w:t>
      </w:r>
    </w:p>
    <w:p w:rsidR="000F52F9" w:rsidRPr="00913DA1" w:rsidRDefault="000F52F9" w:rsidP="00106B3B">
      <w:pPr>
        <w:widowControl w:val="0"/>
        <w:autoSpaceDE w:val="0"/>
        <w:autoSpaceDN w:val="0"/>
        <w:adjustRightInd w:val="0"/>
        <w:jc w:val="both"/>
        <w:rPr>
          <w:sz w:val="18"/>
          <w:szCs w:val="18"/>
          <w:lang w:val="en-GB"/>
        </w:rPr>
      </w:pPr>
      <w:r w:rsidRPr="00E03336">
        <w:rPr>
          <w:rFonts w:ascii="Verdana" w:hAnsi="Verdana"/>
          <w:sz w:val="18"/>
          <w:szCs w:val="18"/>
          <w:lang w:val="en-GB"/>
        </w:rPr>
        <w:t>Woodward A, Howard N, Wolffers I. Health and access to care for undocumented migrants living in the European Union: a scoping review. Health Policy and Planning 2014;29:81</w:t>
      </w:r>
      <w:r w:rsidRPr="00913DA1">
        <w:rPr>
          <w:sz w:val="18"/>
          <w:szCs w:val="18"/>
          <w:lang w:val="en-GB"/>
        </w:rPr>
        <w:t>8-830.</w:t>
      </w:r>
    </w:p>
    <w:sectPr w:rsidR="000F52F9" w:rsidRPr="00913DA1" w:rsidSect="00CB4338">
      <w:headerReference w:type="even" r:id="rId36"/>
      <w:headerReference w:type="default" r:id="rId37"/>
      <w:footerReference w:type="even" r:id="rId38"/>
      <w:footerReference w:type="default" r:id="rId39"/>
      <w:headerReference w:type="first" r:id="rId40"/>
      <w:footerReference w:type="first" r:id="rId41"/>
      <w:pgSz w:w="11906" w:h="16838" w:code="9"/>
      <w:pgMar w:top="141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F9" w:rsidRDefault="000F52F9">
      <w:r>
        <w:separator/>
      </w:r>
    </w:p>
  </w:endnote>
  <w:endnote w:type="continuationSeparator" w:id="0">
    <w:p w:rsidR="000F52F9" w:rsidRDefault="000F5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Default="000F52F9" w:rsidP="00C03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52F9" w:rsidRPr="007F29F4" w:rsidRDefault="000F52F9" w:rsidP="007F29F4">
    <w:pPr>
      <w:pStyle w:val="Footer"/>
      <w:rPr>
        <w:rFonts w:ascii="Verdana" w:hAnsi="Verdana"/>
        <w:sz w:val="16"/>
        <w:szCs w:val="16"/>
      </w:rPr>
    </w:pPr>
    <w:bookmarkStart w:id="0" w:name="OLE_LINK1"/>
    <w:bookmarkStart w:id="1" w:name="OLE_LINK2"/>
    <w:r>
      <w:rPr>
        <w:noProof/>
      </w:rPr>
      <w:pict>
        <v:line id="Line 31" o:spid="_x0000_s2049" style="position:absolute;z-index:-251656192;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0F52F9" w:rsidRPr="007F29F4" w:rsidRDefault="000F52F9" w:rsidP="007F29F4">
    <w:pPr>
      <w:pStyle w:val="Footer"/>
      <w:rPr>
        <w:rFonts w:ascii="Verdana" w:hAnsi="Verdana"/>
      </w:rPr>
    </w:pPr>
    <w:r w:rsidRPr="007F29F4">
      <w:rPr>
        <w:rFonts w:ascii="Verdana" w:hAnsi="Verdana"/>
        <w:i/>
        <w:sz w:val="16"/>
        <w:szCs w:val="16"/>
      </w:rPr>
      <w:t>September, 2015</w:t>
    </w:r>
  </w:p>
  <w:bookmarkEnd w:id="0"/>
  <w:bookmarkEnd w:id="1"/>
  <w:p w:rsidR="000F52F9" w:rsidRDefault="000F52F9" w:rsidP="00415A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Default="000F52F9" w:rsidP="00C03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F52F9" w:rsidRPr="007F29F4" w:rsidRDefault="000F52F9" w:rsidP="007F29F4">
    <w:pPr>
      <w:pStyle w:val="Footer"/>
      <w:rPr>
        <w:rFonts w:ascii="Verdana" w:hAnsi="Verdana"/>
        <w:sz w:val="16"/>
        <w:szCs w:val="16"/>
      </w:rPr>
    </w:pPr>
    <w:r>
      <w:rPr>
        <w:noProof/>
      </w:rPr>
      <w:pict>
        <v:line id="_x0000_s2050" style="position:absolute;z-index:-251654144;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0F52F9" w:rsidRPr="007F29F4" w:rsidRDefault="000F52F9" w:rsidP="007F29F4">
    <w:pPr>
      <w:pStyle w:val="Footer"/>
      <w:rPr>
        <w:rFonts w:ascii="Verdana" w:hAnsi="Verdana"/>
      </w:rPr>
    </w:pPr>
    <w:r w:rsidRPr="007F29F4">
      <w:rPr>
        <w:rFonts w:ascii="Verdana" w:hAnsi="Verdana"/>
        <w:i/>
        <w:sz w:val="16"/>
        <w:szCs w:val="16"/>
      </w:rPr>
      <w:t>September, 2015</w:t>
    </w:r>
  </w:p>
  <w:p w:rsidR="000F52F9" w:rsidRDefault="000F52F9" w:rsidP="00415AA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Default="000F52F9" w:rsidP="008D22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F9" w:rsidRDefault="000F52F9">
      <w:r>
        <w:separator/>
      </w:r>
    </w:p>
  </w:footnote>
  <w:footnote w:type="continuationSeparator" w:id="0">
    <w:p w:rsidR="000F52F9" w:rsidRDefault="000F52F9">
      <w:r>
        <w:continuationSeparator/>
      </w:r>
    </w:p>
  </w:footnote>
  <w:footnote w:id="1">
    <w:p w:rsidR="000F52F9" w:rsidRDefault="000F52F9" w:rsidP="005A69BB">
      <w:pPr>
        <w:pStyle w:val="FootnoteText"/>
        <w:jc w:val="both"/>
      </w:pPr>
      <w:r w:rsidRPr="00626C37">
        <w:rPr>
          <w:rStyle w:val="FootnoteReference"/>
          <w:sz w:val="18"/>
          <w:szCs w:val="18"/>
        </w:rPr>
        <w:footnoteRef/>
      </w:r>
      <w:r w:rsidRPr="00A4132B">
        <w:rPr>
          <w:sz w:val="18"/>
          <w:szCs w:val="18"/>
          <w:lang w:val="en-GB"/>
        </w:rPr>
        <w:t xml:space="preserve"> Donabedian A. The quality of car</w:t>
      </w:r>
      <w:r>
        <w:rPr>
          <w:sz w:val="18"/>
          <w:szCs w:val="18"/>
          <w:lang w:val="en-GB"/>
        </w:rPr>
        <w:t>e. How can it be assessed? JAMA</w:t>
      </w:r>
      <w:r w:rsidRPr="00A4132B">
        <w:rPr>
          <w:sz w:val="18"/>
          <w:szCs w:val="18"/>
          <w:lang w:val="en-GB"/>
        </w:rPr>
        <w:t>: The Journal of the American</w:t>
      </w:r>
      <w:r>
        <w:rPr>
          <w:sz w:val="18"/>
          <w:szCs w:val="18"/>
          <w:lang w:val="en-GB"/>
        </w:rPr>
        <w:t xml:space="preserve"> </w:t>
      </w:r>
      <w:r w:rsidRPr="0043769F">
        <w:rPr>
          <w:sz w:val="18"/>
          <w:szCs w:val="18"/>
          <w:lang w:val="en-GB"/>
        </w:rPr>
        <w:t>Medical Association 1988;260 (12): 1743–8.</w:t>
      </w:r>
    </w:p>
  </w:footnote>
  <w:footnote w:id="2">
    <w:p w:rsidR="000F52F9" w:rsidRDefault="000F52F9" w:rsidP="005A69BB">
      <w:pPr>
        <w:pStyle w:val="FootnoteText"/>
        <w:jc w:val="both"/>
      </w:pPr>
      <w:r w:rsidRPr="00626C37">
        <w:rPr>
          <w:rStyle w:val="FootnoteReference"/>
          <w:sz w:val="18"/>
          <w:szCs w:val="18"/>
        </w:rPr>
        <w:footnoteRef/>
      </w:r>
      <w:r w:rsidRPr="00F63717">
        <w:rPr>
          <w:sz w:val="18"/>
          <w:szCs w:val="18"/>
        </w:rPr>
        <w:t xml:space="preserve"> Mock-Muñoz de Luna C, Ingleby D, Graval E, Krasnik A. Synthesis Report. </w:t>
      </w:r>
      <w:r>
        <w:rPr>
          <w:sz w:val="18"/>
          <w:szCs w:val="18"/>
          <w:lang w:val="en-GB"/>
        </w:rPr>
        <w:t xml:space="preserve">MEM-TP, </w:t>
      </w:r>
      <w:r w:rsidRPr="00626C37">
        <w:rPr>
          <w:sz w:val="18"/>
          <w:szCs w:val="18"/>
          <w:lang w:val="en-GB"/>
        </w:rPr>
        <w:t xml:space="preserve">Training packages for health professionals to improve access and quality of health services for migrants and ethnic minorities, including the Roma. </w:t>
      </w:r>
      <w:smartTag w:uri="urn:schemas-microsoft-com:office:smarttags" w:element="City">
        <w:r w:rsidRPr="00626C37">
          <w:rPr>
            <w:sz w:val="18"/>
            <w:szCs w:val="18"/>
            <w:lang w:val="en-GB"/>
          </w:rPr>
          <w:t>Granada</w:t>
        </w:r>
      </w:smartTag>
      <w:r w:rsidRPr="00626C37">
        <w:rPr>
          <w:sz w:val="18"/>
          <w:szCs w:val="18"/>
          <w:lang w:val="en-GB"/>
        </w:rPr>
        <w:t xml:space="preserve">, </w:t>
      </w:r>
      <w:smartTag w:uri="urn:schemas-microsoft-com:office:smarttags" w:element="City">
        <w:r w:rsidRPr="00626C37">
          <w:rPr>
            <w:sz w:val="18"/>
            <w:szCs w:val="18"/>
            <w:lang w:val="en-GB"/>
          </w:rPr>
          <w:t>Copenhagen</w:t>
        </w:r>
      </w:smartTag>
      <w:r w:rsidRPr="00626C37">
        <w:rPr>
          <w:sz w:val="18"/>
          <w:szCs w:val="18"/>
          <w:lang w:val="en-GB"/>
        </w:rPr>
        <w:t xml:space="preserve">: </w:t>
      </w:r>
      <w:smartTag w:uri="urn:schemas-microsoft-com:office:smarttags" w:element="PlaceName">
        <w:r w:rsidRPr="00626C37">
          <w:rPr>
            <w:sz w:val="18"/>
            <w:szCs w:val="18"/>
            <w:lang w:val="en-GB"/>
          </w:rPr>
          <w:t>Andalusian</w:t>
        </w:r>
      </w:smartTag>
      <w:r w:rsidRPr="00626C37">
        <w:rPr>
          <w:sz w:val="18"/>
          <w:szCs w:val="18"/>
          <w:lang w:val="en-GB"/>
        </w:rPr>
        <w:t xml:space="preserve"> </w:t>
      </w:r>
      <w:smartTag w:uri="urn:schemas-microsoft-com:office:smarttags" w:element="PlaceType">
        <w:r w:rsidRPr="00626C37">
          <w:rPr>
            <w:sz w:val="18"/>
            <w:szCs w:val="18"/>
            <w:lang w:val="en-GB"/>
          </w:rPr>
          <w:t>School</w:t>
        </w:r>
      </w:smartTag>
      <w:r w:rsidRPr="00626C37">
        <w:rPr>
          <w:sz w:val="18"/>
          <w:szCs w:val="18"/>
          <w:lang w:val="en-GB"/>
        </w:rPr>
        <w:t xml:space="preserve"> of Public Health</w:t>
      </w:r>
      <w:r>
        <w:rPr>
          <w:sz w:val="18"/>
          <w:szCs w:val="18"/>
          <w:lang w:val="en-GB"/>
        </w:rPr>
        <w:t xml:space="preserve">, University of </w:t>
      </w:r>
      <w:smartTag w:uri="urn:schemas-microsoft-com:office:smarttags" w:element="place">
        <w:smartTag w:uri="urn:schemas-microsoft-com:office:smarttags" w:element="City">
          <w:r>
            <w:rPr>
              <w:sz w:val="18"/>
              <w:szCs w:val="18"/>
              <w:lang w:val="en-GB"/>
            </w:rPr>
            <w:t>Copenhagen</w:t>
          </w:r>
        </w:smartTag>
      </w:smartTag>
      <w:r>
        <w:rPr>
          <w:sz w:val="18"/>
          <w:szCs w:val="18"/>
          <w:lang w:val="en-GB"/>
        </w:rPr>
        <w:t>, 2015a, p. 96</w:t>
      </w:r>
      <w:r w:rsidRPr="00626C37">
        <w:rPr>
          <w:sz w:val="18"/>
          <w:szCs w:val="18"/>
          <w:lang w:val="en-GB"/>
        </w:rPr>
        <w:t xml:space="preserve">. </w:t>
      </w:r>
    </w:p>
  </w:footnote>
  <w:footnote w:id="3">
    <w:p w:rsidR="000F52F9" w:rsidRPr="00626C37" w:rsidRDefault="000F52F9" w:rsidP="005A69BB">
      <w:pPr>
        <w:pStyle w:val="FootnoteText"/>
        <w:jc w:val="both"/>
        <w:rPr>
          <w:sz w:val="18"/>
          <w:szCs w:val="18"/>
          <w:lang w:val="en-GB"/>
        </w:rPr>
      </w:pPr>
      <w:r w:rsidRPr="00626C37">
        <w:rPr>
          <w:rStyle w:val="FootnoteReference"/>
          <w:sz w:val="18"/>
          <w:szCs w:val="18"/>
        </w:rPr>
        <w:footnoteRef/>
      </w:r>
      <w:r w:rsidRPr="00626C37">
        <w:rPr>
          <w:sz w:val="18"/>
          <w:szCs w:val="18"/>
          <w:lang w:val="en-GB"/>
        </w:rPr>
        <w:t xml:space="preserve"> </w:t>
      </w:r>
      <w:r>
        <w:rPr>
          <w:sz w:val="18"/>
          <w:szCs w:val="18"/>
          <w:lang w:val="en-GB"/>
        </w:rPr>
        <w:t xml:space="preserve">UN, United Nations, </w:t>
      </w:r>
      <w:r w:rsidRPr="00626C37">
        <w:rPr>
          <w:sz w:val="18"/>
          <w:szCs w:val="18"/>
          <w:lang w:val="en-GB"/>
        </w:rPr>
        <w:t>CECSR, Committee on Economic, Cultural and Social Rights. General Comment Nº 14 (2000). The right to the highest attainable standard of health</w:t>
      </w:r>
      <w:r>
        <w:rPr>
          <w:sz w:val="18"/>
          <w:szCs w:val="18"/>
          <w:lang w:val="en-GB"/>
        </w:rPr>
        <w:t>, 2000</w:t>
      </w:r>
      <w:r w:rsidRPr="00626C37">
        <w:rPr>
          <w:sz w:val="18"/>
          <w:szCs w:val="18"/>
          <w:lang w:val="en-GB"/>
        </w:rPr>
        <w:t xml:space="preserve">, p. 1-4. </w:t>
      </w:r>
    </w:p>
    <w:p w:rsidR="000F52F9" w:rsidRDefault="000F52F9" w:rsidP="000757A8">
      <w:pPr>
        <w:pStyle w:val="FootnoteText"/>
        <w:jc w:val="both"/>
      </w:pPr>
      <w:hyperlink r:id="rId1" w:history="1">
        <w:r w:rsidRPr="0085272A">
          <w:rPr>
            <w:rStyle w:val="Hyperlink"/>
            <w:sz w:val="18"/>
            <w:szCs w:val="18"/>
            <w:lang w:val="en-GB"/>
          </w:rPr>
          <w:t>http://tbinternet.ohchr.org/_layouts/treatybodyexternal/TBSearch.aspx?Lang=en&amp;TreatyID=9&amp;DocTypeID=11</w:t>
        </w:r>
      </w:hyperlink>
      <w:r w:rsidRPr="0085272A">
        <w:rPr>
          <w:sz w:val="18"/>
          <w:szCs w:val="18"/>
          <w:lang w:val="en-GB"/>
        </w:rPr>
        <w:t xml:space="preserve"> (retrieved: </w:t>
      </w:r>
      <w:r>
        <w:rPr>
          <w:sz w:val="18"/>
          <w:szCs w:val="18"/>
          <w:lang w:val="en-GB"/>
        </w:rPr>
        <w:t>March 5, 2015</w:t>
      </w:r>
      <w:r w:rsidRPr="0085272A">
        <w:rPr>
          <w:sz w:val="18"/>
          <w:szCs w:val="18"/>
          <w:lang w:val="en-GB"/>
        </w:rPr>
        <w:t xml:space="preserve">). </w:t>
      </w:r>
    </w:p>
  </w:footnote>
  <w:footnote w:id="4">
    <w:p w:rsidR="000F52F9" w:rsidRDefault="000F52F9" w:rsidP="005C7829">
      <w:pPr>
        <w:pStyle w:val="FootnoteText"/>
        <w:jc w:val="both"/>
      </w:pPr>
      <w:r w:rsidRPr="00626C37">
        <w:rPr>
          <w:rStyle w:val="FootnoteReference"/>
          <w:sz w:val="18"/>
          <w:szCs w:val="18"/>
        </w:rPr>
        <w:footnoteRef/>
      </w:r>
      <w:r w:rsidRPr="00A4132B">
        <w:rPr>
          <w:sz w:val="18"/>
          <w:szCs w:val="18"/>
          <w:lang w:val="en-GB"/>
        </w:rPr>
        <w:t xml:space="preserve"> </w:t>
      </w:r>
      <w:r w:rsidRPr="00626C37">
        <w:rPr>
          <w:sz w:val="18"/>
          <w:szCs w:val="18"/>
          <w:lang w:val="en-GB"/>
        </w:rPr>
        <w:t>Martin Y, Collet TH, Bodenmann P, Blum MR, Zimmerli L, Gaspoz JM, Battegay E, Cornuz J, Rodondi N. The lower quality of preventive care am</w:t>
      </w:r>
      <w:r>
        <w:rPr>
          <w:sz w:val="18"/>
          <w:szCs w:val="18"/>
          <w:lang w:val="en-GB"/>
        </w:rPr>
        <w:t>ong forced migrants in a country</w:t>
      </w:r>
      <w:r w:rsidRPr="00626C37">
        <w:rPr>
          <w:sz w:val="18"/>
          <w:szCs w:val="18"/>
          <w:lang w:val="en-GB"/>
        </w:rPr>
        <w:t xml:space="preserve"> with universal healthcare coverage. Preventive Medicine 2014;59:19-24.</w:t>
      </w:r>
    </w:p>
  </w:footnote>
  <w:footnote w:id="5">
    <w:p w:rsidR="000F52F9" w:rsidRDefault="000F52F9" w:rsidP="00C01F03">
      <w:pPr>
        <w:pStyle w:val="FootnoteText"/>
        <w:jc w:val="both"/>
      </w:pPr>
      <w:r w:rsidRPr="00626C37">
        <w:rPr>
          <w:rStyle w:val="FootnoteReference"/>
          <w:sz w:val="18"/>
          <w:szCs w:val="18"/>
        </w:rPr>
        <w:footnoteRef/>
      </w:r>
      <w:r w:rsidRPr="00A4132B">
        <w:rPr>
          <w:sz w:val="18"/>
          <w:szCs w:val="18"/>
          <w:lang w:val="en-GB"/>
        </w:rPr>
        <w:t xml:space="preserve"> </w:t>
      </w:r>
      <w:r w:rsidRPr="00626C37">
        <w:rPr>
          <w:sz w:val="18"/>
          <w:szCs w:val="18"/>
          <w:lang w:val="en-GB"/>
        </w:rPr>
        <w:t xml:space="preserve">Martin, et al. 2014; op. cit.  </w:t>
      </w:r>
    </w:p>
  </w:footnote>
  <w:footnote w:id="6">
    <w:p w:rsidR="000F52F9" w:rsidRDefault="000F52F9" w:rsidP="00C01F03">
      <w:pPr>
        <w:pStyle w:val="FootnoteText"/>
        <w:jc w:val="both"/>
      </w:pPr>
      <w:r w:rsidRPr="00626C37">
        <w:rPr>
          <w:rStyle w:val="FootnoteReference"/>
          <w:sz w:val="18"/>
          <w:szCs w:val="18"/>
        </w:rPr>
        <w:footnoteRef/>
      </w:r>
      <w:r w:rsidRPr="00A4132B">
        <w:rPr>
          <w:sz w:val="18"/>
          <w:szCs w:val="18"/>
          <w:lang w:val="en-GB"/>
        </w:rPr>
        <w:t xml:space="preserve"> Beach MC, Saha S, </w:t>
      </w:r>
      <w:smartTag w:uri="urn:schemas-microsoft-com:office:smarttags" w:element="address">
        <w:smartTag w:uri="urn:schemas-microsoft-com:office:smarttags" w:element="Street">
          <w:r w:rsidRPr="00A4132B">
            <w:rPr>
              <w:sz w:val="18"/>
              <w:szCs w:val="18"/>
              <w:lang w:val="en-GB"/>
            </w:rPr>
            <w:t>Cooper LA.</w:t>
          </w:r>
        </w:smartTag>
      </w:smartTag>
      <w:r w:rsidRPr="00A4132B">
        <w:rPr>
          <w:sz w:val="18"/>
          <w:szCs w:val="18"/>
          <w:lang w:val="en-GB"/>
        </w:rPr>
        <w:t xml:space="preserve"> The role and relationship of cultural competence and patient-centeredness in health care quality. </w:t>
      </w:r>
      <w:smartTag w:uri="urn:schemas-microsoft-com:office:smarttags" w:element="place">
        <w:smartTag w:uri="urn:schemas-microsoft-com:office:smarttags" w:element="City">
          <w:r w:rsidRPr="00A4132B">
            <w:rPr>
              <w:sz w:val="18"/>
              <w:szCs w:val="18"/>
              <w:lang w:val="en-GB"/>
            </w:rPr>
            <w:t>London</w:t>
          </w:r>
        </w:smartTag>
      </w:smartTag>
      <w:r w:rsidRPr="00A4132B">
        <w:rPr>
          <w:sz w:val="18"/>
          <w:szCs w:val="18"/>
          <w:lang w:val="en-GB"/>
        </w:rPr>
        <w:t xml:space="preserve">: Commonwealth Fund, 2006. </w:t>
      </w:r>
    </w:p>
  </w:footnote>
  <w:footnote w:id="7">
    <w:p w:rsidR="000F52F9" w:rsidRDefault="000F52F9">
      <w:pPr>
        <w:pStyle w:val="FootnoteText"/>
      </w:pPr>
      <w:r w:rsidRPr="00626C37">
        <w:rPr>
          <w:rStyle w:val="FootnoteReference"/>
          <w:sz w:val="18"/>
          <w:szCs w:val="18"/>
        </w:rPr>
        <w:footnoteRef/>
      </w:r>
      <w:r w:rsidRPr="00A4132B">
        <w:rPr>
          <w:sz w:val="18"/>
          <w:szCs w:val="18"/>
          <w:lang w:val="en-GB"/>
        </w:rPr>
        <w:t xml:space="preserve"> Council of Europe 2011, op. cit. </w:t>
      </w:r>
    </w:p>
  </w:footnote>
  <w:footnote w:id="8">
    <w:p w:rsidR="000F52F9" w:rsidRDefault="000F52F9" w:rsidP="00B12DE4">
      <w:pPr>
        <w:pStyle w:val="FootnoteText"/>
        <w:jc w:val="both"/>
        <w:rPr>
          <w:sz w:val="18"/>
          <w:szCs w:val="18"/>
          <w:lang w:val="en-GB"/>
        </w:rPr>
      </w:pPr>
      <w:r w:rsidRPr="00626C37">
        <w:rPr>
          <w:rStyle w:val="FootnoteReference"/>
          <w:sz w:val="18"/>
          <w:szCs w:val="18"/>
        </w:rPr>
        <w:footnoteRef/>
      </w:r>
      <w:r w:rsidRPr="00A4132B">
        <w:rPr>
          <w:sz w:val="18"/>
          <w:szCs w:val="18"/>
          <w:lang w:val="en-GB"/>
        </w:rPr>
        <w:t xml:space="preserve"> Ingleby D. European Research on Migration and Health. Background Paper. </w:t>
      </w:r>
      <w:smartTag w:uri="urn:schemas-microsoft-com:office:smarttags" w:element="place">
        <w:smartTag w:uri="urn:schemas-microsoft-com:office:smarttags" w:element="City">
          <w:r w:rsidRPr="00A4132B">
            <w:rPr>
              <w:sz w:val="18"/>
              <w:szCs w:val="18"/>
              <w:lang w:val="en-GB"/>
            </w:rPr>
            <w:t>Brussels</w:t>
          </w:r>
        </w:smartTag>
      </w:smartTag>
      <w:r w:rsidRPr="00A4132B">
        <w:rPr>
          <w:sz w:val="18"/>
          <w:szCs w:val="18"/>
          <w:lang w:val="en-GB"/>
        </w:rPr>
        <w:t xml:space="preserve">: IOM, International Organization for Migration, 2009. </w:t>
      </w:r>
    </w:p>
    <w:p w:rsidR="000F52F9" w:rsidRDefault="000F52F9" w:rsidP="00B12DE4">
      <w:pPr>
        <w:pStyle w:val="FootnoteText"/>
        <w:jc w:val="both"/>
      </w:pPr>
      <w:hyperlink r:id="rId2" w:history="1">
        <w:r w:rsidRPr="0043769F">
          <w:rPr>
            <w:rStyle w:val="Hyperlink"/>
            <w:sz w:val="18"/>
            <w:szCs w:val="18"/>
            <w:lang w:val="en-GB"/>
          </w:rPr>
          <w:t>http://www.migrant-health-europe.org/files/Research%20on%20Migrant%20Health_Background%20Paper.pdf</w:t>
        </w:r>
      </w:hyperlink>
      <w:r w:rsidRPr="0043769F">
        <w:rPr>
          <w:sz w:val="18"/>
          <w:szCs w:val="18"/>
          <w:lang w:val="en-GB"/>
        </w:rPr>
        <w:t xml:space="preserve"> (retrieved: </w:t>
      </w:r>
      <w:r>
        <w:rPr>
          <w:sz w:val="18"/>
          <w:szCs w:val="18"/>
          <w:lang w:val="en-GB"/>
        </w:rPr>
        <w:t>March 5, 2015</w:t>
      </w:r>
      <w:r w:rsidRPr="0043769F">
        <w:rPr>
          <w:sz w:val="18"/>
          <w:szCs w:val="18"/>
          <w:lang w:val="en-GB"/>
        </w:rPr>
        <w:t xml:space="preserve">). </w:t>
      </w:r>
    </w:p>
  </w:footnote>
  <w:footnote w:id="9">
    <w:p w:rsidR="000F52F9" w:rsidRDefault="000F52F9" w:rsidP="005655DF">
      <w:pPr>
        <w:pStyle w:val="FootnoteText"/>
        <w:jc w:val="both"/>
        <w:rPr>
          <w:sz w:val="18"/>
          <w:szCs w:val="18"/>
          <w:lang w:val="en-GB"/>
        </w:rPr>
      </w:pPr>
      <w:r w:rsidRPr="0085272A">
        <w:rPr>
          <w:rStyle w:val="FootnoteReference"/>
          <w:sz w:val="18"/>
          <w:szCs w:val="18"/>
        </w:rPr>
        <w:footnoteRef/>
      </w:r>
      <w:r w:rsidRPr="0085272A">
        <w:rPr>
          <w:sz w:val="18"/>
          <w:szCs w:val="18"/>
        </w:rPr>
        <w:t xml:space="preserve"> </w:t>
      </w:r>
      <w:r w:rsidRPr="00E211A7">
        <w:rPr>
          <w:sz w:val="18"/>
          <w:szCs w:val="18"/>
        </w:rPr>
        <w:t xml:space="preserve">Mock-Muñoz de Luna C, Ingleby D, Graval E, Krasnik A. Synthesis Report. </w:t>
      </w:r>
      <w:r>
        <w:rPr>
          <w:sz w:val="18"/>
          <w:szCs w:val="18"/>
          <w:lang w:val="en-GB"/>
        </w:rPr>
        <w:t xml:space="preserve">MEM-TP, Training packages for health professionals to improve access and quality of health services for migrants and ethnic minorities, including the Roma. </w:t>
      </w:r>
      <w:smartTag w:uri="urn:schemas-microsoft-com:office:smarttags" w:element="City">
        <w:r>
          <w:rPr>
            <w:sz w:val="18"/>
            <w:szCs w:val="18"/>
            <w:lang w:val="en-GB"/>
          </w:rPr>
          <w:t>Granada</w:t>
        </w:r>
      </w:smartTag>
      <w:r>
        <w:rPr>
          <w:sz w:val="18"/>
          <w:szCs w:val="18"/>
          <w:lang w:val="en-GB"/>
        </w:rPr>
        <w:t xml:space="preserve">, </w:t>
      </w:r>
      <w:smartTag w:uri="urn:schemas-microsoft-com:office:smarttags" w:element="City">
        <w:r>
          <w:rPr>
            <w:sz w:val="18"/>
            <w:szCs w:val="18"/>
            <w:lang w:val="en-GB"/>
          </w:rPr>
          <w:t>Copenhagen</w:t>
        </w:r>
      </w:smartTag>
      <w:r>
        <w:rPr>
          <w:sz w:val="18"/>
          <w:szCs w:val="18"/>
          <w:lang w:val="en-GB"/>
        </w:rPr>
        <w:t xml:space="preserve">: </w:t>
      </w:r>
      <w:smartTag w:uri="urn:schemas-microsoft-com:office:smarttags" w:element="PlaceName">
        <w:r>
          <w:rPr>
            <w:sz w:val="18"/>
            <w:szCs w:val="18"/>
            <w:lang w:val="en-GB"/>
          </w:rPr>
          <w:t>Andalusian</w:t>
        </w:r>
      </w:smartTag>
      <w:r>
        <w:rPr>
          <w:sz w:val="18"/>
          <w:szCs w:val="18"/>
          <w:lang w:val="en-GB"/>
        </w:rPr>
        <w:t xml:space="preserve"> </w:t>
      </w:r>
      <w:smartTag w:uri="urn:schemas-microsoft-com:office:smarttags" w:element="PlaceType">
        <w:r>
          <w:rPr>
            <w:sz w:val="18"/>
            <w:szCs w:val="18"/>
            <w:lang w:val="en-GB"/>
          </w:rPr>
          <w:t>School</w:t>
        </w:r>
      </w:smartTag>
      <w:r>
        <w:rPr>
          <w:sz w:val="18"/>
          <w:szCs w:val="18"/>
          <w:lang w:val="en-GB"/>
        </w:rPr>
        <w:t xml:space="preserve"> of Public Health, </w:t>
      </w:r>
      <w:smartTag w:uri="urn:schemas-microsoft-com:office:smarttags" w:element="place">
        <w:smartTag w:uri="urn:schemas-microsoft-com:office:smarttags" w:element="PlaceType">
          <w:r>
            <w:rPr>
              <w:sz w:val="18"/>
              <w:szCs w:val="18"/>
              <w:lang w:val="en-GB"/>
            </w:rPr>
            <w:t>University</w:t>
          </w:r>
        </w:smartTag>
        <w:r>
          <w:rPr>
            <w:sz w:val="18"/>
            <w:szCs w:val="18"/>
            <w:lang w:val="en-GB"/>
          </w:rPr>
          <w:t xml:space="preserve"> of </w:t>
        </w:r>
        <w:smartTag w:uri="urn:schemas-microsoft-com:office:smarttags" w:element="PlaceName">
          <w:r>
            <w:rPr>
              <w:sz w:val="18"/>
              <w:szCs w:val="18"/>
              <w:lang w:val="en-GB"/>
            </w:rPr>
            <w:t>Copenhagen</w:t>
          </w:r>
        </w:smartTag>
      </w:smartTag>
      <w:r>
        <w:rPr>
          <w:sz w:val="18"/>
          <w:szCs w:val="18"/>
          <w:lang w:val="en-GB"/>
        </w:rPr>
        <w:t xml:space="preserve">, 2015a. </w:t>
      </w:r>
    </w:p>
    <w:p w:rsidR="000F52F9" w:rsidRDefault="000F52F9" w:rsidP="005655DF">
      <w:pPr>
        <w:pStyle w:val="FootnoteText"/>
        <w:jc w:val="both"/>
      </w:pPr>
      <w:hyperlink r:id="rId3" w:history="1">
        <w:r w:rsidRPr="00AE0251">
          <w:rPr>
            <w:rStyle w:val="Hyperlink"/>
            <w:sz w:val="18"/>
            <w:szCs w:val="18"/>
            <w:lang w:val="en-GB"/>
          </w:rPr>
          <w:t>http://www.mem-tp.org/pluginfile.php/619/mod_resource/content/1/MEM-TP_Synthesis_Report.pdf</w:t>
        </w:r>
      </w:hyperlink>
      <w:r>
        <w:rPr>
          <w:sz w:val="18"/>
          <w:szCs w:val="18"/>
          <w:lang w:val="en-GB"/>
        </w:rPr>
        <w:t xml:space="preserve"> (retrieved: March 5, 2015). </w:t>
      </w:r>
    </w:p>
  </w:footnote>
  <w:footnote w:id="10">
    <w:p w:rsidR="000F52F9" w:rsidRDefault="000F52F9" w:rsidP="0065426E">
      <w:pPr>
        <w:pStyle w:val="FootnoteText"/>
        <w:jc w:val="both"/>
      </w:pPr>
      <w:r w:rsidRPr="00626C37">
        <w:rPr>
          <w:rStyle w:val="FootnoteReference"/>
          <w:sz w:val="18"/>
          <w:szCs w:val="18"/>
        </w:rPr>
        <w:footnoteRef/>
      </w:r>
      <w:r w:rsidRPr="00626C37">
        <w:rPr>
          <w:sz w:val="18"/>
          <w:szCs w:val="18"/>
          <w:lang w:val="en-GB"/>
        </w:rPr>
        <w:t xml:space="preserve"> IOM, International Organization for Migration, WHO, World Health Organization; UNHRC, United Nations Human Rights Office of the High Commissioner. International Migration, Health and Human Rights. </w:t>
      </w:r>
      <w:smartTag w:uri="urn:schemas-microsoft-com:office:smarttags" w:element="place">
        <w:smartTag w:uri="urn:schemas-microsoft-com:office:smarttags" w:element="City">
          <w:r w:rsidRPr="00626C37">
            <w:rPr>
              <w:sz w:val="18"/>
              <w:szCs w:val="18"/>
              <w:lang w:val="en-GB"/>
            </w:rPr>
            <w:t>Geneva</w:t>
          </w:r>
        </w:smartTag>
      </w:smartTag>
      <w:r w:rsidRPr="00626C37">
        <w:rPr>
          <w:sz w:val="18"/>
          <w:szCs w:val="18"/>
          <w:lang w:val="en-GB"/>
        </w:rPr>
        <w:t xml:space="preserve">: IOM, 2013. </w:t>
      </w:r>
      <w:hyperlink r:id="rId4" w:history="1">
        <w:r w:rsidRPr="00626C37">
          <w:rPr>
            <w:rStyle w:val="Hyperlink"/>
            <w:sz w:val="18"/>
            <w:szCs w:val="18"/>
            <w:lang w:val="en-GB"/>
          </w:rPr>
          <w:t>http://www.ohchr.org/Documents/Issues/Migration/WHO_IOM_UNOHCHRPublication.pdf</w:t>
        </w:r>
      </w:hyperlink>
      <w:r w:rsidRPr="00626C37">
        <w:rPr>
          <w:sz w:val="18"/>
          <w:szCs w:val="18"/>
          <w:lang w:val="en-GB"/>
        </w:rPr>
        <w:t xml:space="preserve"> (retrieved: </w:t>
      </w:r>
      <w:r>
        <w:rPr>
          <w:sz w:val="18"/>
          <w:szCs w:val="18"/>
          <w:lang w:val="en-GB"/>
        </w:rPr>
        <w:t>March 5, 2015</w:t>
      </w:r>
      <w:r w:rsidRPr="00626C37">
        <w:rPr>
          <w:sz w:val="18"/>
          <w:szCs w:val="18"/>
          <w:lang w:val="en-GB"/>
        </w:rPr>
        <w:t>).</w:t>
      </w:r>
      <w:r w:rsidRPr="00B51990">
        <w:rPr>
          <w:sz w:val="18"/>
          <w:szCs w:val="18"/>
          <w:lang w:val="en-GB"/>
        </w:rPr>
        <w:t xml:space="preserve"> </w:t>
      </w:r>
    </w:p>
  </w:footnote>
  <w:footnote w:id="11">
    <w:p w:rsidR="000F52F9" w:rsidRDefault="000F52F9" w:rsidP="0065426E">
      <w:pPr>
        <w:widowControl w:val="0"/>
        <w:autoSpaceDE w:val="0"/>
        <w:autoSpaceDN w:val="0"/>
        <w:adjustRightInd w:val="0"/>
        <w:jc w:val="both"/>
      </w:pPr>
      <w:r w:rsidRPr="00B51990">
        <w:rPr>
          <w:rStyle w:val="FootnoteReference"/>
          <w:sz w:val="18"/>
          <w:szCs w:val="18"/>
        </w:rPr>
        <w:footnoteRef/>
      </w:r>
      <w:r w:rsidRPr="00B51990">
        <w:rPr>
          <w:sz w:val="18"/>
          <w:szCs w:val="18"/>
          <w:lang w:val="en-GB"/>
        </w:rPr>
        <w:t xml:space="preserve"> Biswas D, Toebes B, Hjern A, Ascher H, Norredam M. Access to health care for undocumented migrants from a human rights perspective: a comparative study of </w:t>
      </w:r>
      <w:smartTag w:uri="urn:schemas-microsoft-com:office:smarttags" w:element="country-region">
        <w:r w:rsidRPr="00B51990">
          <w:rPr>
            <w:sz w:val="18"/>
            <w:szCs w:val="18"/>
            <w:lang w:val="en-GB"/>
          </w:rPr>
          <w:t>Denmark</w:t>
        </w:r>
      </w:smartTag>
      <w:r w:rsidRPr="00B51990">
        <w:rPr>
          <w:sz w:val="18"/>
          <w:szCs w:val="18"/>
          <w:lang w:val="en-GB"/>
        </w:rPr>
        <w:t xml:space="preserve">, </w:t>
      </w:r>
      <w:smartTag w:uri="urn:schemas-microsoft-com:office:smarttags" w:element="country-region">
        <w:r w:rsidRPr="00B51990">
          <w:rPr>
            <w:sz w:val="18"/>
            <w:szCs w:val="18"/>
            <w:lang w:val="en-GB"/>
          </w:rPr>
          <w:t>Sweden</w:t>
        </w:r>
      </w:smartTag>
      <w:r w:rsidRPr="00B51990">
        <w:rPr>
          <w:sz w:val="18"/>
          <w:szCs w:val="18"/>
          <w:lang w:val="en-GB"/>
        </w:rPr>
        <w:t xml:space="preserve">, and the </w:t>
      </w:r>
      <w:smartTag w:uri="urn:schemas-microsoft-com:office:smarttags" w:element="place">
        <w:smartTag w:uri="urn:schemas-microsoft-com:office:smarttags" w:element="country-region">
          <w:r w:rsidRPr="00B51990">
            <w:rPr>
              <w:sz w:val="18"/>
              <w:szCs w:val="18"/>
              <w:lang w:val="en-GB"/>
            </w:rPr>
            <w:t>Netherlands</w:t>
          </w:r>
        </w:smartTag>
      </w:smartTag>
      <w:r w:rsidRPr="00B51990">
        <w:rPr>
          <w:sz w:val="18"/>
          <w:szCs w:val="18"/>
          <w:lang w:val="en-GB"/>
        </w:rPr>
        <w:t>. Health and Human Rights 2012;14:2:49-60.</w:t>
      </w:r>
    </w:p>
  </w:footnote>
  <w:footnote w:id="12">
    <w:p w:rsidR="000F52F9" w:rsidRDefault="000F52F9" w:rsidP="0065426E">
      <w:pPr>
        <w:pStyle w:val="FootnoteText"/>
        <w:jc w:val="both"/>
      </w:pPr>
      <w:r w:rsidRPr="00B51990">
        <w:rPr>
          <w:rStyle w:val="FootnoteReference"/>
          <w:sz w:val="18"/>
          <w:szCs w:val="18"/>
        </w:rPr>
        <w:footnoteRef/>
      </w:r>
      <w:r w:rsidRPr="00B51990">
        <w:rPr>
          <w:sz w:val="18"/>
          <w:szCs w:val="18"/>
          <w:lang w:val="en-GB"/>
        </w:rPr>
        <w:t xml:space="preserve"> </w:t>
      </w:r>
      <w:smartTag w:uri="urn:schemas-microsoft-com:office:smarttags" w:element="place">
        <w:smartTag w:uri="urn:schemas-microsoft-com:office:smarttags" w:element="City">
          <w:r w:rsidRPr="00B51990">
            <w:rPr>
              <w:sz w:val="18"/>
              <w:szCs w:val="18"/>
              <w:lang w:val="en-GB"/>
            </w:rPr>
            <w:t>Cuadra</w:t>
          </w:r>
        </w:smartTag>
        <w:r w:rsidRPr="00B51990">
          <w:rPr>
            <w:sz w:val="18"/>
            <w:szCs w:val="18"/>
            <w:lang w:val="en-GB"/>
          </w:rPr>
          <w:t xml:space="preserve"> </w:t>
        </w:r>
        <w:smartTag w:uri="urn:schemas-microsoft-com:office:smarttags" w:element="State">
          <w:r w:rsidRPr="00B51990">
            <w:rPr>
              <w:sz w:val="18"/>
              <w:szCs w:val="18"/>
              <w:lang w:val="en-GB"/>
            </w:rPr>
            <w:t>BC</w:t>
          </w:r>
        </w:smartTag>
      </w:smartTag>
      <w:r w:rsidRPr="00B51990">
        <w:rPr>
          <w:sz w:val="18"/>
          <w:szCs w:val="18"/>
          <w:lang w:val="en-GB"/>
        </w:rPr>
        <w:t>. Right of access to health care for undocumented migrants in EU: a comparative study of national policies. Eur J Public Health 2011;22:267–271.</w:t>
      </w:r>
    </w:p>
  </w:footnote>
  <w:footnote w:id="13">
    <w:p w:rsidR="000F52F9" w:rsidRDefault="000F52F9" w:rsidP="0065426E">
      <w:pPr>
        <w:widowControl w:val="0"/>
        <w:autoSpaceDE w:val="0"/>
        <w:autoSpaceDN w:val="0"/>
        <w:adjustRightInd w:val="0"/>
        <w:jc w:val="both"/>
      </w:pPr>
      <w:r w:rsidRPr="00445079">
        <w:rPr>
          <w:rStyle w:val="FootnoteReference"/>
          <w:sz w:val="18"/>
          <w:szCs w:val="18"/>
        </w:rPr>
        <w:footnoteRef/>
      </w:r>
      <w:r w:rsidRPr="00445079">
        <w:rPr>
          <w:sz w:val="18"/>
          <w:szCs w:val="18"/>
          <w:lang w:val="en-GB"/>
        </w:rPr>
        <w:t xml:space="preserve"> Dauvrin M, Lorant V, Sandhu S, et al. Health care for irregular migrants: pragmatism across Europe. A qualitative study. BMC Res Notes 2012;5:99.</w:t>
      </w:r>
    </w:p>
  </w:footnote>
  <w:footnote w:id="14">
    <w:p w:rsidR="000F52F9" w:rsidRDefault="000F52F9" w:rsidP="0065426E">
      <w:pPr>
        <w:pStyle w:val="FootnoteText"/>
        <w:jc w:val="both"/>
      </w:pPr>
      <w:r w:rsidRPr="00445079">
        <w:rPr>
          <w:rStyle w:val="FootnoteReference"/>
          <w:sz w:val="18"/>
          <w:szCs w:val="18"/>
        </w:rPr>
        <w:footnoteRef/>
      </w:r>
      <w:r>
        <w:rPr>
          <w:sz w:val="18"/>
          <w:szCs w:val="18"/>
          <w:lang w:val="en-GB"/>
        </w:rPr>
        <w:t xml:space="preserve"> </w:t>
      </w:r>
      <w:r w:rsidRPr="00445079">
        <w:rPr>
          <w:sz w:val="18"/>
          <w:szCs w:val="18"/>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5" w:history="1">
        <w:r w:rsidRPr="00304708">
          <w:rPr>
            <w:rStyle w:val="Hyperlink"/>
            <w:sz w:val="18"/>
            <w:szCs w:val="18"/>
            <w:lang w:val="en-GB"/>
          </w:rPr>
          <w:t>http://irregular-migration.net/typo3_upload/groups/31/4.Background_Information/4.1.Methodology/EthicalIssuesIrregularMigration_Clandestino_Report_Nov09.pdf</w:t>
        </w:r>
      </w:hyperlink>
      <w:r>
        <w:rPr>
          <w:sz w:val="18"/>
          <w:szCs w:val="18"/>
          <w:lang w:val="en-GB"/>
        </w:rPr>
        <w:t xml:space="preserve"> (retrieved: March 5, 2015</w:t>
      </w:r>
      <w:r w:rsidRPr="00304708">
        <w:rPr>
          <w:sz w:val="18"/>
          <w:szCs w:val="18"/>
          <w:lang w:val="en-GB"/>
        </w:rPr>
        <w:t>).</w:t>
      </w:r>
    </w:p>
  </w:footnote>
  <w:footnote w:id="15">
    <w:p w:rsidR="000F52F9" w:rsidRDefault="000F52F9" w:rsidP="0065426E">
      <w:pPr>
        <w:pStyle w:val="FootnoteText"/>
        <w:jc w:val="both"/>
      </w:pPr>
      <w:r w:rsidRPr="006564D9">
        <w:rPr>
          <w:rStyle w:val="FootnoteReference"/>
          <w:sz w:val="18"/>
          <w:szCs w:val="18"/>
        </w:rPr>
        <w:footnoteRef/>
      </w:r>
      <w:r w:rsidRPr="006564D9">
        <w:rPr>
          <w:sz w:val="18"/>
          <w:szCs w:val="18"/>
          <w:lang w:val="en-GB"/>
        </w:rPr>
        <w:t xml:space="preserve"> FRA, European Union Agency for Fundamental Rights. Fundamental Rights of Migrants in an Irregular Situation in the European Union. </w:t>
      </w:r>
      <w:smartTag w:uri="urn:schemas-microsoft-com:office:smarttags" w:element="place">
        <w:smartTag w:uri="urn:schemas-microsoft-com:office:smarttags" w:element="country-region">
          <w:r w:rsidRPr="006564D9">
            <w:rPr>
              <w:sz w:val="18"/>
              <w:szCs w:val="18"/>
              <w:lang w:val="en-GB"/>
            </w:rPr>
            <w:t>Luxembourg</w:t>
          </w:r>
        </w:smartTag>
      </w:smartTag>
      <w:r w:rsidRPr="006564D9">
        <w:rPr>
          <w:sz w:val="18"/>
          <w:szCs w:val="18"/>
          <w:lang w:val="en-GB"/>
        </w:rPr>
        <w:t xml:space="preserve">: Publications Office of the European Union, 2011a. </w:t>
      </w:r>
      <w:hyperlink r:id="rId6" w:history="1">
        <w:r w:rsidRPr="006564D9">
          <w:rPr>
            <w:rStyle w:val="Hyperlink"/>
            <w:sz w:val="18"/>
            <w:szCs w:val="18"/>
            <w:lang w:val="en-GB"/>
          </w:rPr>
          <w:t>http://fra.europa.eu/sites/default/files/fra_uploads/1827-FRA_2011_Migrants_in_an_irregular_situation_EN.pdf</w:t>
        </w:r>
      </w:hyperlink>
      <w:r w:rsidRPr="006564D9">
        <w:rPr>
          <w:sz w:val="18"/>
          <w:szCs w:val="18"/>
          <w:lang w:val="en-GB"/>
        </w:rPr>
        <w:t xml:space="preserve"> (retrieved: </w:t>
      </w:r>
      <w:r>
        <w:rPr>
          <w:sz w:val="18"/>
          <w:szCs w:val="18"/>
          <w:lang w:val="en-GB"/>
        </w:rPr>
        <w:t>March 5, 2015</w:t>
      </w:r>
      <w:r w:rsidRPr="006564D9">
        <w:rPr>
          <w:sz w:val="18"/>
          <w:szCs w:val="18"/>
          <w:lang w:val="en-GB"/>
        </w:rPr>
        <w:t xml:space="preserve">). </w:t>
      </w:r>
    </w:p>
  </w:footnote>
  <w:footnote w:id="16">
    <w:p w:rsidR="000F52F9" w:rsidRPr="006564D9" w:rsidRDefault="000F52F9" w:rsidP="0065426E">
      <w:pPr>
        <w:pStyle w:val="FootnoteText"/>
        <w:jc w:val="both"/>
        <w:rPr>
          <w:sz w:val="18"/>
          <w:szCs w:val="18"/>
          <w:lang w:val="en-GB"/>
        </w:rPr>
      </w:pPr>
      <w:r w:rsidRPr="006564D9">
        <w:rPr>
          <w:rStyle w:val="FootnoteReference"/>
          <w:sz w:val="18"/>
          <w:szCs w:val="18"/>
        </w:rPr>
        <w:footnoteRef/>
      </w:r>
      <w:r w:rsidRPr="006564D9">
        <w:rPr>
          <w:sz w:val="18"/>
          <w:szCs w:val="18"/>
          <w:lang w:val="en-GB"/>
        </w:rPr>
        <w:t xml:space="preserve"> FRA, European Union Agency for Fundamental Rights. Migrants in an Irregular Situation: Access to Health Care in 10 European Union Member States. </w:t>
      </w:r>
      <w:smartTag w:uri="urn:schemas-microsoft-com:office:smarttags" w:element="place">
        <w:smartTag w:uri="urn:schemas-microsoft-com:office:smarttags" w:element="country-region">
          <w:r w:rsidRPr="006564D9">
            <w:rPr>
              <w:sz w:val="18"/>
              <w:szCs w:val="18"/>
              <w:lang w:val="en-GB"/>
            </w:rPr>
            <w:t>Luxembourg</w:t>
          </w:r>
        </w:smartTag>
      </w:smartTag>
      <w:r w:rsidRPr="006564D9">
        <w:rPr>
          <w:sz w:val="18"/>
          <w:szCs w:val="18"/>
          <w:lang w:val="en-GB"/>
        </w:rPr>
        <w:t xml:space="preserve">: Publications Office of the European Union, 2011b. </w:t>
      </w:r>
    </w:p>
    <w:p w:rsidR="000F52F9" w:rsidRDefault="000F52F9" w:rsidP="0065426E">
      <w:pPr>
        <w:pStyle w:val="FootnoteText"/>
        <w:jc w:val="both"/>
      </w:pPr>
      <w:hyperlink r:id="rId7" w:history="1">
        <w:r w:rsidRPr="006564D9">
          <w:rPr>
            <w:rStyle w:val="Hyperlink"/>
            <w:sz w:val="18"/>
            <w:szCs w:val="18"/>
            <w:lang w:val="en-GB"/>
          </w:rPr>
          <w:t>http://fra.europa.eu/sites/default/files/fra_uploads/1771-FRA-2011-fundamental-rights-for-irregular-migrants-healthcare_EN.pdf</w:t>
        </w:r>
      </w:hyperlink>
      <w:r w:rsidRPr="006564D9">
        <w:rPr>
          <w:lang w:val="en-GB"/>
        </w:rPr>
        <w:t xml:space="preserve"> (retrieved: </w:t>
      </w:r>
      <w:r>
        <w:rPr>
          <w:lang w:val="en-GB"/>
        </w:rPr>
        <w:t>March 5, 2015</w:t>
      </w:r>
      <w:r w:rsidRPr="006564D9">
        <w:rPr>
          <w:lang w:val="en-GB"/>
        </w:rPr>
        <w:t xml:space="preserve">). </w:t>
      </w:r>
    </w:p>
  </w:footnote>
  <w:footnote w:id="17">
    <w:p w:rsidR="000F52F9" w:rsidRDefault="000F52F9" w:rsidP="0065426E">
      <w:pPr>
        <w:widowControl w:val="0"/>
        <w:autoSpaceDE w:val="0"/>
        <w:autoSpaceDN w:val="0"/>
        <w:adjustRightInd w:val="0"/>
        <w:jc w:val="both"/>
      </w:pPr>
      <w:r w:rsidRPr="00445079">
        <w:rPr>
          <w:rStyle w:val="FootnoteReference"/>
          <w:sz w:val="18"/>
          <w:szCs w:val="18"/>
        </w:rPr>
        <w:footnoteRef/>
      </w:r>
      <w:r>
        <w:rPr>
          <w:sz w:val="18"/>
          <w:szCs w:val="18"/>
          <w:lang w:val="en-GB"/>
        </w:rPr>
        <w:t xml:space="preserve"> </w:t>
      </w:r>
      <w:r w:rsidRPr="00445079">
        <w:rPr>
          <w:sz w:val="18"/>
          <w:szCs w:val="18"/>
          <w:lang w:val="en-GB"/>
        </w:rPr>
        <w:t xml:space="preserve">HUMA Network, Health for Undocumented Migrants and Asylum Seekers, Collantes S. Are Undocumented Migrants and Asylum Seekers Entitled to Access Health Care in the EU? A Comparative Overview in 16 Countries. </w:t>
      </w:r>
      <w:smartTag w:uri="urn:schemas-microsoft-com:office:smarttags" w:element="City">
        <w:r w:rsidRPr="00445079">
          <w:rPr>
            <w:sz w:val="18"/>
            <w:szCs w:val="18"/>
            <w:lang w:val="en-GB"/>
          </w:rPr>
          <w:t>Paris</w:t>
        </w:r>
      </w:smartTag>
      <w:r w:rsidRPr="00445079">
        <w:rPr>
          <w:sz w:val="18"/>
          <w:szCs w:val="18"/>
          <w:lang w:val="en-GB"/>
        </w:rPr>
        <w:t xml:space="preserve">, </w:t>
      </w:r>
      <w:smartTag w:uri="urn:schemas-microsoft-com:office:smarttags" w:element="place">
        <w:smartTag w:uri="urn:schemas-microsoft-com:office:smarttags" w:element="City">
          <w:r w:rsidRPr="00445079">
            <w:rPr>
              <w:sz w:val="18"/>
              <w:szCs w:val="18"/>
              <w:lang w:val="en-GB"/>
            </w:rPr>
            <w:t>Brussels</w:t>
          </w:r>
        </w:smartTag>
        <w:r w:rsidRPr="00445079">
          <w:rPr>
            <w:sz w:val="18"/>
            <w:szCs w:val="18"/>
            <w:lang w:val="en-GB"/>
          </w:rPr>
          <w:t xml:space="preserve">, </w:t>
        </w:r>
        <w:smartTag w:uri="urn:schemas-microsoft-com:office:smarttags" w:element="State">
          <w:r w:rsidRPr="00445079">
            <w:rPr>
              <w:sz w:val="18"/>
              <w:szCs w:val="18"/>
              <w:lang w:val="en-GB"/>
            </w:rPr>
            <w:t>Madrid</w:t>
          </w:r>
        </w:smartTag>
      </w:smartTag>
      <w:r w:rsidRPr="00445079">
        <w:rPr>
          <w:sz w:val="18"/>
          <w:szCs w:val="18"/>
          <w:lang w:val="en-GB"/>
        </w:rPr>
        <w:t xml:space="preserve">: HUMA Network, 2010. </w:t>
      </w:r>
      <w:hyperlink r:id="rId8" w:history="1">
        <w:r w:rsidRPr="008C7872">
          <w:rPr>
            <w:rStyle w:val="Hyperlink"/>
            <w:sz w:val="18"/>
            <w:szCs w:val="18"/>
            <w:lang w:val="en-GB"/>
          </w:rPr>
          <w:t>http://www.epim.info/wp-content/uploads/2011/02/HUMA-Publication-Comparative-Overview-16-Countries-2010.pdf</w:t>
        </w:r>
      </w:hyperlink>
      <w:r>
        <w:rPr>
          <w:sz w:val="18"/>
          <w:szCs w:val="18"/>
          <w:lang w:val="en-GB"/>
        </w:rPr>
        <w:t xml:space="preserve"> (retrieved: March 5, 2015).</w:t>
      </w:r>
    </w:p>
  </w:footnote>
  <w:footnote w:id="18">
    <w:p w:rsidR="000F52F9" w:rsidRDefault="000F52F9" w:rsidP="0065426E">
      <w:pPr>
        <w:widowControl w:val="0"/>
        <w:autoSpaceDE w:val="0"/>
        <w:autoSpaceDN w:val="0"/>
        <w:adjustRightInd w:val="0"/>
        <w:jc w:val="both"/>
      </w:pPr>
      <w:r w:rsidRPr="00445079">
        <w:rPr>
          <w:rStyle w:val="FootnoteReference"/>
          <w:sz w:val="18"/>
          <w:szCs w:val="18"/>
        </w:rPr>
        <w:footnoteRef/>
      </w:r>
      <w:r w:rsidRPr="00445079">
        <w:rPr>
          <w:sz w:val="18"/>
          <w:szCs w:val="18"/>
          <w:lang w:val="en-GB"/>
        </w:rPr>
        <w:t xml:space="preserve"> Karl-Trummer U, Novak-Zezula S. Health Care in Nowhereland, Improving Services for Undocumented Migrants in the EU. </w:t>
      </w:r>
      <w:smartTag w:uri="urn:schemas-microsoft-com:office:smarttags" w:element="place">
        <w:smartTag w:uri="urn:schemas-microsoft-com:office:smarttags" w:element="City">
          <w:r w:rsidRPr="00445079">
            <w:rPr>
              <w:sz w:val="18"/>
              <w:szCs w:val="18"/>
              <w:lang w:val="en-GB"/>
            </w:rPr>
            <w:t>Vienna</w:t>
          </w:r>
        </w:smartTag>
      </w:smartTag>
      <w:r w:rsidRPr="00445079">
        <w:rPr>
          <w:sz w:val="18"/>
          <w:szCs w:val="18"/>
          <w:lang w:val="en-GB"/>
        </w:rPr>
        <w:t>: Centre for Health and Migration, 2010.</w:t>
      </w:r>
    </w:p>
  </w:footnote>
  <w:footnote w:id="19">
    <w:p w:rsidR="000F52F9" w:rsidRDefault="000F52F9" w:rsidP="0065426E">
      <w:pPr>
        <w:widowControl w:val="0"/>
        <w:autoSpaceDE w:val="0"/>
        <w:autoSpaceDN w:val="0"/>
        <w:adjustRightInd w:val="0"/>
        <w:jc w:val="both"/>
      </w:pPr>
      <w:r w:rsidRPr="00445079">
        <w:rPr>
          <w:rStyle w:val="FootnoteReference"/>
          <w:sz w:val="18"/>
          <w:szCs w:val="18"/>
        </w:rPr>
        <w:footnoteRef/>
      </w:r>
      <w:r w:rsidRPr="00445079">
        <w:rPr>
          <w:sz w:val="18"/>
          <w:szCs w:val="18"/>
          <w:lang w:val="en-GB"/>
        </w:rPr>
        <w:t xml:space="preserve"> Médicins du Monde (Doctors of the World), European Observatory on Access to Health Care, Chauvin P, Parizot I, Simonnot N. Access to Health Care for Undocumented Migrants in 11 European Countries. </w:t>
      </w:r>
      <w:r w:rsidRPr="00304708">
        <w:rPr>
          <w:sz w:val="18"/>
          <w:szCs w:val="18"/>
          <w:lang w:val="fr-FR"/>
        </w:rPr>
        <w:t xml:space="preserve">Paris: Médicins du Monde, 2009. . </w:t>
      </w:r>
      <w:hyperlink r:id="rId9" w:history="1">
        <w:r w:rsidRPr="00304708">
          <w:rPr>
            <w:rStyle w:val="Hyperlink"/>
            <w:sz w:val="18"/>
            <w:szCs w:val="18"/>
            <w:lang w:val="fr-FR"/>
          </w:rPr>
          <w:t>http://mdmgreece.gr/attachments/283_huma%20en.pdf</w:t>
        </w:r>
      </w:hyperlink>
      <w:r w:rsidRPr="00304708">
        <w:rPr>
          <w:sz w:val="18"/>
          <w:szCs w:val="18"/>
          <w:lang w:val="fr-FR"/>
        </w:rPr>
        <w:t xml:space="preserve"> </w:t>
      </w:r>
      <w:r w:rsidRPr="00304708">
        <w:rPr>
          <w:bCs/>
          <w:sz w:val="18"/>
          <w:szCs w:val="18"/>
          <w:lang w:val="fr-FR"/>
        </w:rPr>
        <w:t xml:space="preserve">(retrieved: </w:t>
      </w:r>
      <w:r>
        <w:rPr>
          <w:bCs/>
          <w:sz w:val="18"/>
          <w:szCs w:val="18"/>
          <w:lang w:val="fr-FR"/>
        </w:rPr>
        <w:t>March 5, 2015</w:t>
      </w:r>
      <w:r w:rsidRPr="00304708">
        <w:rPr>
          <w:bCs/>
          <w:sz w:val="18"/>
          <w:szCs w:val="18"/>
          <w:lang w:val="fr-FR"/>
        </w:rPr>
        <w:t>).</w:t>
      </w:r>
    </w:p>
  </w:footnote>
  <w:footnote w:id="20">
    <w:p w:rsidR="000F52F9" w:rsidRDefault="000F52F9" w:rsidP="0065426E">
      <w:pPr>
        <w:widowControl w:val="0"/>
        <w:autoSpaceDE w:val="0"/>
        <w:autoSpaceDN w:val="0"/>
        <w:adjustRightInd w:val="0"/>
        <w:jc w:val="both"/>
        <w:rPr>
          <w:sz w:val="18"/>
          <w:szCs w:val="18"/>
          <w:lang w:val="fr-FR"/>
        </w:rPr>
      </w:pPr>
      <w:r w:rsidRPr="00445079">
        <w:rPr>
          <w:rStyle w:val="FootnoteReference"/>
          <w:sz w:val="18"/>
          <w:szCs w:val="18"/>
        </w:rPr>
        <w:footnoteRef/>
      </w:r>
      <w:r w:rsidRPr="00445079">
        <w:rPr>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445079">
        <w:rPr>
          <w:sz w:val="18"/>
          <w:szCs w:val="18"/>
          <w:lang w:val="fr-FR"/>
        </w:rPr>
        <w:t>Paris: Médicins du Monde, 2012.</w:t>
      </w:r>
      <w:r>
        <w:rPr>
          <w:sz w:val="18"/>
          <w:szCs w:val="18"/>
          <w:lang w:val="fr-FR"/>
        </w:rPr>
        <w:t xml:space="preserve"> </w:t>
      </w:r>
    </w:p>
    <w:p w:rsidR="000F52F9" w:rsidRDefault="000F52F9" w:rsidP="0065426E">
      <w:pPr>
        <w:widowControl w:val="0"/>
        <w:autoSpaceDE w:val="0"/>
        <w:autoSpaceDN w:val="0"/>
        <w:adjustRightInd w:val="0"/>
        <w:jc w:val="both"/>
      </w:pPr>
      <w:hyperlink r:id="rId10" w:history="1">
        <w:r w:rsidRPr="00F40191">
          <w:rPr>
            <w:rStyle w:val="Hyperlink"/>
            <w:sz w:val="18"/>
            <w:szCs w:val="18"/>
            <w:lang w:val="fr-FR"/>
          </w:rPr>
          <w:t>http://www.doktersvandewereld.be/sites/www.doktersvandewereld.be/files/publicatie/attachments/eu_vulnerable_groups_2012_mdm.pdf</w:t>
        </w:r>
      </w:hyperlink>
      <w:r w:rsidRPr="00F40191">
        <w:rPr>
          <w:sz w:val="18"/>
          <w:szCs w:val="18"/>
          <w:lang w:val="fr-FR"/>
        </w:rPr>
        <w:t xml:space="preserve"> </w:t>
      </w:r>
      <w:r w:rsidRPr="00F40191">
        <w:rPr>
          <w:bCs/>
          <w:sz w:val="18"/>
          <w:szCs w:val="18"/>
          <w:lang w:val="fr-FR"/>
        </w:rPr>
        <w:t xml:space="preserve">(retrieved: </w:t>
      </w:r>
      <w:r>
        <w:rPr>
          <w:bCs/>
          <w:sz w:val="18"/>
          <w:szCs w:val="18"/>
          <w:lang w:val="fr-FR"/>
        </w:rPr>
        <w:t>March 5, 2015</w:t>
      </w:r>
      <w:r w:rsidRPr="00F40191">
        <w:rPr>
          <w:bCs/>
          <w:sz w:val="18"/>
          <w:szCs w:val="18"/>
          <w:lang w:val="fr-FR"/>
        </w:rPr>
        <w:t>).</w:t>
      </w:r>
    </w:p>
  </w:footnote>
  <w:footnote w:id="21">
    <w:p w:rsidR="000F52F9" w:rsidRDefault="000F52F9" w:rsidP="0065426E">
      <w:pPr>
        <w:widowControl w:val="0"/>
        <w:autoSpaceDE w:val="0"/>
        <w:autoSpaceDN w:val="0"/>
        <w:adjustRightInd w:val="0"/>
        <w:jc w:val="both"/>
      </w:pPr>
      <w:r w:rsidRPr="00445079">
        <w:rPr>
          <w:rStyle w:val="FootnoteReference"/>
          <w:sz w:val="18"/>
          <w:szCs w:val="18"/>
        </w:rPr>
        <w:footnoteRef/>
      </w:r>
      <w:r w:rsidRPr="00304708">
        <w:rPr>
          <w:sz w:val="18"/>
          <w:szCs w:val="18"/>
          <w:lang w:val="en-GB"/>
        </w:rPr>
        <w:t xml:space="preserve"> Médicins du Monde (Doctors of the World), Chauvin D, Simonnot N, Vanbiervliet F, et al. </w:t>
      </w:r>
      <w:r w:rsidRPr="00445079">
        <w:rPr>
          <w:sz w:val="18"/>
          <w:szCs w:val="18"/>
          <w:lang w:val="en-GB"/>
        </w:rPr>
        <w:t xml:space="preserve">Access to Health Care in Europe in Times of Crisis and Rising Xenophobia: An Overview of the Situation of People Excluded from Health Care Systems. </w:t>
      </w:r>
      <w:r w:rsidRPr="00304708">
        <w:rPr>
          <w:sz w:val="18"/>
          <w:szCs w:val="18"/>
          <w:lang w:val="fr-FR"/>
        </w:rPr>
        <w:t xml:space="preserve">Paris: Médicins du Monde, 2013. </w:t>
      </w:r>
      <w:hyperlink r:id="rId11" w:history="1">
        <w:r w:rsidRPr="00304708">
          <w:rPr>
            <w:rStyle w:val="Hyperlink"/>
            <w:sz w:val="18"/>
            <w:szCs w:val="18"/>
            <w:lang w:val="fr-FR"/>
          </w:rPr>
          <w:t>http://b.3cdn.net/droftheworld/d137240498b91ca33e_jhm62yjg1.pdf</w:t>
        </w:r>
      </w:hyperlink>
      <w:r w:rsidRPr="00304708">
        <w:rPr>
          <w:sz w:val="18"/>
          <w:szCs w:val="18"/>
          <w:lang w:val="fr-FR"/>
        </w:rPr>
        <w:t xml:space="preserve"> </w:t>
      </w:r>
      <w:r w:rsidRPr="00304708">
        <w:rPr>
          <w:bCs/>
          <w:sz w:val="18"/>
          <w:szCs w:val="18"/>
          <w:lang w:val="fr-FR"/>
        </w:rPr>
        <w:t xml:space="preserve">(retrieved: </w:t>
      </w:r>
      <w:r>
        <w:rPr>
          <w:bCs/>
          <w:sz w:val="18"/>
          <w:szCs w:val="18"/>
          <w:lang w:val="fr-FR"/>
        </w:rPr>
        <w:t>March 5, 2015</w:t>
      </w:r>
      <w:r w:rsidRPr="00304708">
        <w:rPr>
          <w:bCs/>
          <w:sz w:val="18"/>
          <w:szCs w:val="18"/>
          <w:lang w:val="fr-FR"/>
        </w:rPr>
        <w:t>).</w:t>
      </w:r>
    </w:p>
  </w:footnote>
  <w:footnote w:id="22">
    <w:p w:rsidR="000F52F9" w:rsidRDefault="000F52F9" w:rsidP="0065426E">
      <w:pPr>
        <w:pStyle w:val="FootnoteText"/>
        <w:jc w:val="both"/>
      </w:pPr>
      <w:r w:rsidRPr="00445079">
        <w:rPr>
          <w:rStyle w:val="FootnoteReference"/>
          <w:sz w:val="18"/>
          <w:szCs w:val="18"/>
        </w:rPr>
        <w:footnoteRef/>
      </w:r>
      <w:r w:rsidRPr="00445079">
        <w:rPr>
          <w:sz w:val="18"/>
          <w:szCs w:val="18"/>
          <w:lang w:val="en-GB"/>
        </w:rPr>
        <w:t xml:space="preserve"> PICUM, Platform for International Cooperation on Undocumented Migra</w:t>
      </w:r>
      <w:r>
        <w:rPr>
          <w:sz w:val="18"/>
          <w:szCs w:val="18"/>
          <w:lang w:val="en-GB"/>
        </w:rPr>
        <w:t>nts. Access to Health Care for U</w:t>
      </w:r>
      <w:r w:rsidRPr="00445079">
        <w:rPr>
          <w:sz w:val="18"/>
          <w:szCs w:val="18"/>
          <w:lang w:val="en-GB"/>
        </w:rPr>
        <w:t xml:space="preserve">ndocumented Migrants in </w:t>
      </w:r>
      <w:smartTag w:uri="urn:schemas-microsoft-com:office:smarttags" w:element="place">
        <w:r w:rsidRPr="00445079">
          <w:rPr>
            <w:sz w:val="18"/>
            <w:szCs w:val="18"/>
            <w:lang w:val="en-GB"/>
          </w:rPr>
          <w:t>Europe</w:t>
        </w:r>
      </w:smartTag>
      <w:r w:rsidRPr="00445079">
        <w:rPr>
          <w:sz w:val="18"/>
          <w:szCs w:val="18"/>
          <w:lang w:val="en-GB"/>
        </w:rPr>
        <w:t>: The Key Role of Local and Regional Aut</w:t>
      </w:r>
      <w:r>
        <w:rPr>
          <w:sz w:val="18"/>
          <w:szCs w:val="18"/>
          <w:lang w:val="en-GB"/>
        </w:rPr>
        <w:t xml:space="preserve">horities. </w:t>
      </w:r>
      <w:smartTag w:uri="urn:schemas-microsoft-com:office:smarttags" w:element="place">
        <w:smartTag w:uri="urn:schemas-microsoft-com:office:smarttags" w:element="City">
          <w:r>
            <w:rPr>
              <w:sz w:val="18"/>
              <w:szCs w:val="18"/>
              <w:lang w:val="en-GB"/>
            </w:rPr>
            <w:t>Brussels</w:t>
          </w:r>
        </w:smartTag>
      </w:smartTag>
      <w:r>
        <w:rPr>
          <w:sz w:val="18"/>
          <w:szCs w:val="18"/>
          <w:lang w:val="en-GB"/>
        </w:rPr>
        <w:t>: PICUM, 2014</w:t>
      </w:r>
      <w:r w:rsidRPr="00445079">
        <w:rPr>
          <w:sz w:val="18"/>
          <w:szCs w:val="18"/>
          <w:lang w:val="en-GB"/>
        </w:rPr>
        <w:t>.</w:t>
      </w:r>
      <w:r>
        <w:rPr>
          <w:sz w:val="18"/>
          <w:szCs w:val="18"/>
          <w:lang w:val="en-GB"/>
        </w:rPr>
        <w:t xml:space="preserve"> </w:t>
      </w:r>
      <w:hyperlink r:id="rId12" w:history="1">
        <w:r w:rsidRPr="008C7872">
          <w:rPr>
            <w:rStyle w:val="Hyperlink"/>
            <w:sz w:val="18"/>
            <w:szCs w:val="18"/>
            <w:lang w:val="en-GB"/>
          </w:rPr>
          <w:t>http://picum.org/picum.org/uploads/publication/PolicyBrief_Local%20and%20Regional%20Authorities_AccessHealthCare_UndocumentedMigrants_Oct.2014.pdf</w:t>
        </w:r>
      </w:hyperlink>
      <w:r>
        <w:rPr>
          <w:sz w:val="18"/>
          <w:szCs w:val="18"/>
          <w:lang w:val="en-GB"/>
        </w:rPr>
        <w:t xml:space="preserve"> </w:t>
      </w:r>
      <w:r>
        <w:rPr>
          <w:bCs/>
          <w:sz w:val="18"/>
          <w:szCs w:val="18"/>
          <w:lang w:val="en-GB"/>
        </w:rPr>
        <w:t>(retrieved: March 5, 2015</w:t>
      </w:r>
      <w:r w:rsidRPr="00A86D8C">
        <w:rPr>
          <w:bCs/>
          <w:sz w:val="18"/>
          <w:szCs w:val="18"/>
          <w:lang w:val="en-GB"/>
        </w:rPr>
        <w:t>).</w:t>
      </w:r>
    </w:p>
  </w:footnote>
  <w:footnote w:id="23">
    <w:p w:rsidR="000F52F9" w:rsidRDefault="000F52F9" w:rsidP="0065426E">
      <w:pPr>
        <w:pStyle w:val="FootnoteText"/>
        <w:jc w:val="both"/>
      </w:pPr>
      <w:r w:rsidRPr="00445079">
        <w:rPr>
          <w:rStyle w:val="FootnoteReference"/>
          <w:sz w:val="18"/>
          <w:szCs w:val="18"/>
        </w:rPr>
        <w:footnoteRef/>
      </w:r>
      <w:r w:rsidRPr="00445079">
        <w:rPr>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w:t>
      </w:r>
      <w:smartTag w:uri="urn:schemas-microsoft-com:office:smarttags" w:element="place">
        <w:r w:rsidRPr="00445079">
          <w:rPr>
            <w:sz w:val="18"/>
            <w:szCs w:val="18"/>
            <w:lang w:val="en-GB"/>
          </w:rPr>
          <w:t>Europe</w:t>
        </w:r>
      </w:smartTag>
      <w:r w:rsidRPr="00445079">
        <w:rPr>
          <w:sz w:val="18"/>
          <w:szCs w:val="18"/>
          <w:lang w:val="en-GB"/>
        </w:rPr>
        <w:t>. Social Science &amp; Medicine 2010;70:329-336.</w:t>
      </w:r>
    </w:p>
  </w:footnote>
  <w:footnote w:id="24">
    <w:p w:rsidR="000F52F9" w:rsidRDefault="000F52F9" w:rsidP="0065426E">
      <w:pPr>
        <w:pStyle w:val="FootnoteText"/>
        <w:jc w:val="both"/>
      </w:pPr>
      <w:r w:rsidRPr="00445079">
        <w:rPr>
          <w:rStyle w:val="FootnoteReference"/>
          <w:sz w:val="18"/>
          <w:szCs w:val="18"/>
        </w:rPr>
        <w:footnoteRef/>
      </w:r>
      <w:r w:rsidRPr="00445079">
        <w:rPr>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25">
    <w:p w:rsidR="000F52F9" w:rsidRDefault="000F52F9" w:rsidP="0065426E">
      <w:pPr>
        <w:widowControl w:val="0"/>
        <w:autoSpaceDE w:val="0"/>
        <w:autoSpaceDN w:val="0"/>
        <w:adjustRightInd w:val="0"/>
        <w:jc w:val="both"/>
      </w:pPr>
      <w:r w:rsidRPr="00445079">
        <w:rPr>
          <w:rStyle w:val="FootnoteReference"/>
          <w:sz w:val="18"/>
          <w:szCs w:val="18"/>
        </w:rPr>
        <w:footnoteRef/>
      </w:r>
      <w:r w:rsidRPr="00445079">
        <w:rPr>
          <w:sz w:val="18"/>
          <w:szCs w:val="18"/>
          <w:lang w:val="en-GB"/>
        </w:rPr>
        <w:t xml:space="preserve"> Woodward A, Howard N, Wolffers I. Health and access to care for undocumented migrants living in the European Union: a scoping review. Health Policy and Planning 2014;29:818-830.</w:t>
      </w:r>
    </w:p>
  </w:footnote>
  <w:footnote w:id="26">
    <w:p w:rsidR="000F52F9" w:rsidRPr="00445079" w:rsidRDefault="000F52F9" w:rsidP="0065426E">
      <w:pPr>
        <w:pStyle w:val="FootnoteText"/>
        <w:jc w:val="both"/>
        <w:rPr>
          <w:sz w:val="18"/>
          <w:szCs w:val="18"/>
          <w:lang w:val="en-GB"/>
        </w:rPr>
      </w:pPr>
      <w:r w:rsidRPr="00445079">
        <w:rPr>
          <w:rStyle w:val="FootnoteReference"/>
          <w:sz w:val="18"/>
          <w:szCs w:val="18"/>
        </w:rPr>
        <w:footnoteRef/>
      </w:r>
      <w:r w:rsidRPr="00445079">
        <w:rPr>
          <w:sz w:val="18"/>
          <w:szCs w:val="18"/>
          <w:lang w:val="en-GB"/>
        </w:rPr>
        <w:t xml:space="preserve"> Council of </w:t>
      </w:r>
      <w:smartTag w:uri="urn:schemas-microsoft-com:office:smarttags" w:element="place">
        <w:r w:rsidRPr="00445079">
          <w:rPr>
            <w:sz w:val="18"/>
            <w:szCs w:val="18"/>
            <w:lang w:val="en-GB"/>
          </w:rPr>
          <w:t>Europe</w:t>
        </w:r>
      </w:smartTag>
      <w:r w:rsidRPr="00445079">
        <w:rPr>
          <w:sz w:val="18"/>
          <w:szCs w:val="18"/>
          <w:lang w:val="en-GB"/>
        </w:rPr>
        <w:t>, Com</w:t>
      </w:r>
      <w:r>
        <w:rPr>
          <w:sz w:val="18"/>
          <w:szCs w:val="18"/>
          <w:lang w:val="en-GB"/>
        </w:rPr>
        <w:t>m</w:t>
      </w:r>
      <w:r w:rsidRPr="00445079">
        <w:rPr>
          <w:sz w:val="18"/>
          <w:szCs w:val="18"/>
          <w:lang w:val="en-GB"/>
        </w:rPr>
        <w:t xml:space="preserve">issioner for Human Rights. Human rights of Roma and Travellers in </w:t>
      </w:r>
      <w:smartTag w:uri="urn:schemas-microsoft-com:office:smarttags" w:element="place">
        <w:r w:rsidRPr="00445079">
          <w:rPr>
            <w:sz w:val="18"/>
            <w:szCs w:val="18"/>
            <w:lang w:val="en-GB"/>
          </w:rPr>
          <w:t>Europe</w:t>
        </w:r>
      </w:smartTag>
      <w:r w:rsidRPr="00445079">
        <w:rPr>
          <w:sz w:val="18"/>
          <w:szCs w:val="18"/>
          <w:lang w:val="en-GB"/>
        </w:rPr>
        <w:t xml:space="preserve">. </w:t>
      </w:r>
      <w:smartTag w:uri="urn:schemas-microsoft-com:office:smarttags" w:element="City">
        <w:r w:rsidRPr="00445079">
          <w:rPr>
            <w:sz w:val="18"/>
            <w:szCs w:val="18"/>
            <w:lang w:val="en-GB"/>
          </w:rPr>
          <w:t>Strasbourg</w:t>
        </w:r>
      </w:smartTag>
      <w:r w:rsidRPr="00445079">
        <w:rPr>
          <w:sz w:val="18"/>
          <w:szCs w:val="18"/>
          <w:lang w:val="en-GB"/>
        </w:rPr>
        <w:t xml:space="preserve">: Council of </w:t>
      </w:r>
      <w:smartTag w:uri="urn:schemas-microsoft-com:office:smarttags" w:element="place">
        <w:r w:rsidRPr="00445079">
          <w:rPr>
            <w:sz w:val="18"/>
            <w:szCs w:val="18"/>
            <w:lang w:val="en-GB"/>
          </w:rPr>
          <w:t>Europe</w:t>
        </w:r>
      </w:smartTag>
      <w:r w:rsidRPr="00445079">
        <w:rPr>
          <w:sz w:val="18"/>
          <w:szCs w:val="18"/>
          <w:lang w:val="en-GB"/>
        </w:rPr>
        <w:t xml:space="preserve">, 2012. </w:t>
      </w:r>
    </w:p>
    <w:p w:rsidR="000F52F9" w:rsidRDefault="000F52F9" w:rsidP="0065426E">
      <w:pPr>
        <w:pStyle w:val="FootnoteText"/>
        <w:jc w:val="both"/>
      </w:pPr>
      <w:hyperlink r:id="rId13" w:history="1">
        <w:r w:rsidRPr="00445079">
          <w:rPr>
            <w:rStyle w:val="Hyperlink"/>
            <w:sz w:val="18"/>
            <w:szCs w:val="18"/>
            <w:lang w:val="en-GB"/>
          </w:rPr>
          <w:t>http://www.coe.int/t/commissioner/source/prems/prems79611_GBR_CouvHumanRightsOfRoma_WEB.pdf</w:t>
        </w:r>
      </w:hyperlink>
      <w:r w:rsidRPr="00445079">
        <w:rPr>
          <w:sz w:val="18"/>
          <w:szCs w:val="18"/>
          <w:lang w:val="en-GB"/>
        </w:rPr>
        <w:t xml:space="preserve"> (retrieved: </w:t>
      </w:r>
      <w:r>
        <w:rPr>
          <w:sz w:val="18"/>
          <w:szCs w:val="18"/>
          <w:lang w:val="en-GB"/>
        </w:rPr>
        <w:t>March 5, 2015</w:t>
      </w:r>
      <w:r w:rsidRPr="00445079">
        <w:rPr>
          <w:sz w:val="18"/>
          <w:szCs w:val="18"/>
          <w:lang w:val="en-GB"/>
        </w:rPr>
        <w:t xml:space="preserve">). </w:t>
      </w:r>
    </w:p>
  </w:footnote>
  <w:footnote w:id="27">
    <w:p w:rsidR="000F52F9" w:rsidRDefault="000F52F9" w:rsidP="0065426E">
      <w:pPr>
        <w:pStyle w:val="FootnoteText"/>
        <w:jc w:val="both"/>
        <w:rPr>
          <w:sz w:val="18"/>
          <w:szCs w:val="18"/>
          <w:lang w:val="en-GB"/>
        </w:rPr>
      </w:pPr>
      <w:r w:rsidRPr="00445079">
        <w:rPr>
          <w:rStyle w:val="FootnoteReference"/>
          <w:sz w:val="18"/>
          <w:szCs w:val="18"/>
        </w:rPr>
        <w:footnoteRef/>
      </w:r>
      <w:r w:rsidRPr="00445079">
        <w:rPr>
          <w:sz w:val="18"/>
          <w:szCs w:val="18"/>
          <w:lang w:val="en-GB"/>
        </w:rPr>
        <w:t xml:space="preserve"> FRA, European Union Fundamental Rights Agency, UNDP, United Nations Development Programme. The situation of Roma in 11 EU Member States. Survey results at a glance. </w:t>
      </w:r>
      <w:smartTag w:uri="urn:schemas-microsoft-com:office:smarttags" w:element="place">
        <w:smartTag w:uri="urn:schemas-microsoft-com:office:smarttags" w:element="country-region">
          <w:r w:rsidRPr="00445079">
            <w:rPr>
              <w:sz w:val="18"/>
              <w:szCs w:val="18"/>
              <w:lang w:val="en-GB"/>
            </w:rPr>
            <w:t>Luxembourg</w:t>
          </w:r>
        </w:smartTag>
      </w:smartTag>
      <w:r w:rsidRPr="00445079">
        <w:rPr>
          <w:sz w:val="18"/>
          <w:szCs w:val="18"/>
          <w:lang w:val="en-GB"/>
        </w:rPr>
        <w:t xml:space="preserve">: Publications Office of the European Union, 2012. </w:t>
      </w:r>
    </w:p>
    <w:p w:rsidR="000F52F9" w:rsidRDefault="000F52F9" w:rsidP="0065426E">
      <w:pPr>
        <w:pStyle w:val="FootnoteText"/>
        <w:jc w:val="both"/>
      </w:pPr>
      <w:hyperlink r:id="rId14" w:history="1">
        <w:r w:rsidRPr="00304708">
          <w:rPr>
            <w:rStyle w:val="Hyperlink"/>
            <w:sz w:val="18"/>
            <w:szCs w:val="18"/>
            <w:lang w:val="en-GB"/>
          </w:rPr>
          <w:t>http://fra.europa.eu/sites/default/files/fra_uploads/2099-FRA-2012-Roma-at-a-glance_EN.pdf</w:t>
        </w:r>
      </w:hyperlink>
      <w:r w:rsidRPr="00304708">
        <w:rPr>
          <w:sz w:val="18"/>
          <w:szCs w:val="18"/>
          <w:lang w:val="en-GB"/>
        </w:rPr>
        <w:t xml:space="preserve"> (retrieved: </w:t>
      </w:r>
      <w:r>
        <w:rPr>
          <w:sz w:val="18"/>
          <w:szCs w:val="18"/>
          <w:lang w:val="en-GB"/>
        </w:rPr>
        <w:t>March 5, 2015</w:t>
      </w:r>
      <w:r w:rsidRPr="00304708">
        <w:rPr>
          <w:sz w:val="18"/>
          <w:szCs w:val="18"/>
          <w:lang w:val="en-GB"/>
        </w:rPr>
        <w:t xml:space="preserve">). </w:t>
      </w:r>
    </w:p>
  </w:footnote>
  <w:footnote w:id="28">
    <w:p w:rsidR="000F52F9" w:rsidRDefault="000F52F9" w:rsidP="002B717E">
      <w:pPr>
        <w:pStyle w:val="FootnoteText"/>
        <w:jc w:val="both"/>
      </w:pPr>
      <w:r w:rsidRPr="00626C37">
        <w:rPr>
          <w:rStyle w:val="FootnoteReference"/>
          <w:sz w:val="18"/>
          <w:szCs w:val="18"/>
        </w:rPr>
        <w:footnoteRef/>
      </w:r>
      <w:r>
        <w:rPr>
          <w:sz w:val="18"/>
          <w:szCs w:val="18"/>
        </w:rPr>
        <w:t xml:space="preserve"> Mock-Muñoz de Luna, et al. 2015</w:t>
      </w:r>
      <w:r w:rsidRPr="00626C37">
        <w:rPr>
          <w:sz w:val="18"/>
          <w:szCs w:val="18"/>
        </w:rPr>
        <w:t xml:space="preserve">a, op. cit. </w:t>
      </w:r>
    </w:p>
  </w:footnote>
  <w:footnote w:id="29">
    <w:p w:rsidR="000F52F9" w:rsidRDefault="000F52F9" w:rsidP="002B717E">
      <w:pPr>
        <w:pStyle w:val="FootnoteText"/>
        <w:jc w:val="both"/>
      </w:pPr>
      <w:r w:rsidRPr="00626C37">
        <w:rPr>
          <w:rStyle w:val="FootnoteReference"/>
          <w:sz w:val="18"/>
          <w:szCs w:val="18"/>
        </w:rPr>
        <w:footnoteRef/>
      </w:r>
      <w:r w:rsidRPr="00F63717">
        <w:rPr>
          <w:sz w:val="18"/>
          <w:szCs w:val="18"/>
          <w:lang w:val="en-US"/>
        </w:rPr>
        <w:t xml:space="preserve"> Riccardo F, Dente MG, Kojouharova M, Fabiani M, Alfonsi V, Kurchatova A, Vladimirova N, Declich S. Migrant’s access to immunization in Mediterranean Countries. </w:t>
      </w:r>
      <w:r w:rsidRPr="00A4132B">
        <w:rPr>
          <w:sz w:val="18"/>
          <w:szCs w:val="18"/>
          <w:lang w:val="en-GB"/>
        </w:rPr>
        <w:t xml:space="preserve">Health Policy 2012;105:17-24. </w:t>
      </w:r>
    </w:p>
  </w:footnote>
  <w:footnote w:id="30">
    <w:p w:rsidR="000F52F9" w:rsidRDefault="000F52F9" w:rsidP="008F49D8">
      <w:pPr>
        <w:pStyle w:val="FootnoteText"/>
        <w:jc w:val="both"/>
      </w:pPr>
      <w:r w:rsidRPr="00626C37">
        <w:rPr>
          <w:rStyle w:val="FootnoteReference"/>
          <w:sz w:val="18"/>
          <w:szCs w:val="18"/>
        </w:rPr>
        <w:footnoteRef/>
      </w:r>
      <w:r w:rsidRPr="00626C37">
        <w:rPr>
          <w:sz w:val="18"/>
          <w:szCs w:val="18"/>
          <w:lang w:val="fr-FR"/>
        </w:rPr>
        <w:t xml:space="preserve"> JRS-Europe, Jesuit Refugee Service-Europe. </w:t>
      </w:r>
      <w:r w:rsidRPr="00626C37">
        <w:rPr>
          <w:sz w:val="18"/>
          <w:szCs w:val="18"/>
          <w:lang w:val="en-GB"/>
        </w:rPr>
        <w:t xml:space="preserve">Civil Society Report on the Detention of Vulnerable Asylum Seekers and Irregular Migrants in the European Union (The Devas Project). </w:t>
      </w:r>
      <w:r w:rsidRPr="00626C37">
        <w:rPr>
          <w:sz w:val="18"/>
          <w:szCs w:val="18"/>
          <w:lang w:val="da-DK"/>
        </w:rPr>
        <w:t xml:space="preserve">Brussels: JRS-Europe, 2010. </w:t>
      </w:r>
      <w:hyperlink r:id="rId15" w:history="1">
        <w:r w:rsidRPr="00C845E2">
          <w:rPr>
            <w:rStyle w:val="Hyperlink"/>
            <w:sz w:val="18"/>
            <w:szCs w:val="18"/>
            <w:lang w:val="en-GB"/>
          </w:rPr>
          <w:t>http://www.detention-in-europe.org/images/stories/DEVAS/jrs-europe_becoming%20vulnerable%20in%20detention_june%202010_public_updated%20on%2012july10.pdf</w:t>
        </w:r>
      </w:hyperlink>
      <w:r w:rsidRPr="00C845E2">
        <w:rPr>
          <w:sz w:val="18"/>
          <w:szCs w:val="18"/>
          <w:lang w:val="en-GB"/>
        </w:rPr>
        <w:t xml:space="preserve"> (retrieved :  </w:t>
      </w:r>
      <w:r>
        <w:rPr>
          <w:sz w:val="18"/>
          <w:szCs w:val="18"/>
          <w:lang w:val="en-GB"/>
        </w:rPr>
        <w:t>March 5</w:t>
      </w:r>
      <w:r w:rsidRPr="00C845E2">
        <w:rPr>
          <w:sz w:val="18"/>
          <w:szCs w:val="18"/>
          <w:lang w:val="en-GB"/>
        </w:rPr>
        <w:t xml:space="preserve">, 2015). </w:t>
      </w:r>
    </w:p>
  </w:footnote>
  <w:footnote w:id="31">
    <w:p w:rsidR="000F52F9" w:rsidRDefault="000F52F9" w:rsidP="008F49D8">
      <w:pPr>
        <w:pStyle w:val="FootnoteText"/>
        <w:jc w:val="both"/>
      </w:pPr>
      <w:r w:rsidRPr="00626C37">
        <w:rPr>
          <w:rStyle w:val="FootnoteReference"/>
          <w:sz w:val="18"/>
          <w:szCs w:val="18"/>
        </w:rPr>
        <w:footnoteRef/>
      </w:r>
      <w:r w:rsidRPr="00626C37">
        <w:rPr>
          <w:sz w:val="18"/>
          <w:szCs w:val="18"/>
          <w:lang w:val="en-GB"/>
        </w:rPr>
        <w:t xml:space="preserve"> Médicins Sans Frontieres. Migrants, refugees and asylum seekers: Vulnerable people at </w:t>
      </w:r>
      <w:smartTag w:uri="urn:schemas-microsoft-com:office:smarttags" w:element="place">
        <w:r w:rsidRPr="00626C37">
          <w:rPr>
            <w:sz w:val="18"/>
            <w:szCs w:val="18"/>
            <w:lang w:val="en-GB"/>
          </w:rPr>
          <w:t>Europe</w:t>
        </w:r>
      </w:smartTag>
      <w:r w:rsidRPr="00626C37">
        <w:rPr>
          <w:sz w:val="18"/>
          <w:szCs w:val="18"/>
          <w:lang w:val="en-GB"/>
        </w:rPr>
        <w:t xml:space="preserve">’s doorstep, s.a. </w:t>
      </w:r>
      <w:hyperlink r:id="rId16" w:history="1">
        <w:r w:rsidRPr="00626C37">
          <w:rPr>
            <w:rStyle w:val="Hyperlink"/>
            <w:sz w:val="18"/>
            <w:szCs w:val="18"/>
            <w:lang w:val="en-GB"/>
          </w:rPr>
          <w:t>http://www.doctorswithoutborders.org/sites/usa/files/MSF-Migrants-Refugees-AsslymSeekers.pdf</w:t>
        </w:r>
      </w:hyperlink>
      <w:r w:rsidRPr="00626C37">
        <w:rPr>
          <w:sz w:val="18"/>
          <w:szCs w:val="18"/>
          <w:lang w:val="en-GB"/>
        </w:rPr>
        <w:t xml:space="preserve"> (retrieved: </w:t>
      </w:r>
      <w:r>
        <w:rPr>
          <w:sz w:val="18"/>
          <w:szCs w:val="18"/>
          <w:lang w:val="en-GB"/>
        </w:rPr>
        <w:t>March 5, 2015</w:t>
      </w:r>
      <w:r w:rsidRPr="00626C37">
        <w:rPr>
          <w:sz w:val="18"/>
          <w:szCs w:val="18"/>
          <w:lang w:val="en-GB"/>
        </w:rPr>
        <w:t xml:space="preserve">). </w:t>
      </w:r>
    </w:p>
  </w:footnote>
  <w:footnote w:id="32">
    <w:p w:rsidR="000F52F9" w:rsidRPr="00626C37" w:rsidRDefault="000F52F9" w:rsidP="008F49D8">
      <w:pPr>
        <w:pStyle w:val="FootnoteText"/>
        <w:jc w:val="both"/>
        <w:rPr>
          <w:sz w:val="18"/>
          <w:szCs w:val="18"/>
          <w:lang w:val="en-GB"/>
        </w:rPr>
      </w:pPr>
      <w:r w:rsidRPr="00626C37">
        <w:rPr>
          <w:rStyle w:val="FootnoteReference"/>
          <w:sz w:val="18"/>
          <w:szCs w:val="18"/>
        </w:rPr>
        <w:footnoteRef/>
      </w:r>
      <w:r w:rsidRPr="00626C37">
        <w:rPr>
          <w:sz w:val="18"/>
          <w:szCs w:val="18"/>
          <w:lang w:val="en-GB"/>
        </w:rPr>
        <w:t xml:space="preserve"> Amnesty International</w:t>
      </w:r>
      <w:r>
        <w:rPr>
          <w:sz w:val="18"/>
          <w:szCs w:val="18"/>
          <w:lang w:val="en-GB"/>
        </w:rPr>
        <w:t>.</w:t>
      </w:r>
      <w:r w:rsidRPr="00626C37">
        <w:rPr>
          <w:sz w:val="18"/>
          <w:szCs w:val="18"/>
          <w:lang w:val="en-GB"/>
        </w:rPr>
        <w:t xml:space="preserve"> Migration-Related Detention: A research guide on human rights standards relevant to the detention of migrants, asylum-seekers and refugees. </w:t>
      </w:r>
      <w:smartTag w:uri="urn:schemas-microsoft-com:office:smarttags" w:element="PlaceName">
        <w:r w:rsidRPr="00626C37">
          <w:rPr>
            <w:sz w:val="18"/>
            <w:szCs w:val="18"/>
            <w:lang w:val="en-GB"/>
          </w:rPr>
          <w:t>London</w:t>
        </w:r>
      </w:smartTag>
      <w:r w:rsidRPr="00626C37">
        <w:rPr>
          <w:sz w:val="18"/>
          <w:szCs w:val="18"/>
          <w:lang w:val="en-GB"/>
        </w:rPr>
        <w:t xml:space="preserve">: AI, 2007. </w:t>
      </w:r>
    </w:p>
    <w:p w:rsidR="000F52F9" w:rsidRDefault="000F52F9" w:rsidP="008F49D8">
      <w:pPr>
        <w:pStyle w:val="FootnoteText"/>
        <w:jc w:val="both"/>
      </w:pPr>
      <w:hyperlink r:id="rId17" w:history="1">
        <w:r w:rsidRPr="00626C37">
          <w:rPr>
            <w:rStyle w:val="Hyperlink"/>
            <w:sz w:val="18"/>
            <w:szCs w:val="18"/>
            <w:lang w:val="en-GB"/>
          </w:rPr>
          <w:t>http://www.refworld.org/pdfid/476b7d322.pdf</w:t>
        </w:r>
      </w:hyperlink>
      <w:r w:rsidRPr="00626C37">
        <w:rPr>
          <w:sz w:val="18"/>
          <w:szCs w:val="18"/>
          <w:lang w:val="en-GB"/>
        </w:rPr>
        <w:t xml:space="preserve"> (retrieved: </w:t>
      </w:r>
      <w:r>
        <w:rPr>
          <w:sz w:val="18"/>
          <w:szCs w:val="18"/>
          <w:lang w:val="en-GB"/>
        </w:rPr>
        <w:t>March 5, 2015</w:t>
      </w:r>
      <w:r w:rsidRPr="00626C37">
        <w:rPr>
          <w:sz w:val="18"/>
          <w:szCs w:val="18"/>
          <w:lang w:val="en-GB"/>
        </w:rPr>
        <w:t>).</w:t>
      </w:r>
      <w:r w:rsidRPr="008F49D8">
        <w:rPr>
          <w:sz w:val="18"/>
          <w:szCs w:val="18"/>
          <w:lang w:val="en-GB"/>
        </w:rPr>
        <w:t xml:space="preserve"> </w:t>
      </w:r>
    </w:p>
  </w:footnote>
  <w:footnote w:id="33">
    <w:p w:rsidR="000F52F9" w:rsidRPr="00626C37" w:rsidRDefault="000F52F9" w:rsidP="008F49D8">
      <w:pPr>
        <w:pStyle w:val="ListParagraph"/>
        <w:spacing w:after="0" w:line="240" w:lineRule="auto"/>
        <w:ind w:left="0"/>
        <w:jc w:val="both"/>
        <w:rPr>
          <w:sz w:val="18"/>
          <w:szCs w:val="18"/>
          <w:lang w:val="fr-FR" w:eastAsia="es-ES"/>
        </w:rPr>
      </w:pPr>
      <w:r w:rsidRPr="00626C37">
        <w:rPr>
          <w:sz w:val="18"/>
          <w:szCs w:val="18"/>
          <w:vertAlign w:val="superscript"/>
          <w:lang w:val="en-GB" w:eastAsia="es-ES"/>
        </w:rPr>
        <w:footnoteRef/>
      </w:r>
      <w:r w:rsidRPr="00626C37">
        <w:rPr>
          <w:sz w:val="18"/>
          <w:szCs w:val="18"/>
          <w:lang w:val="en-GB" w:eastAsia="es-ES"/>
        </w:rPr>
        <w:t xml:space="preserve"> UN, United Nations, Human Rights Council. Report of the Special Rapporteur on the human rights of migrants, Detention of migrants in an irregular situation. </w:t>
      </w:r>
      <w:r w:rsidRPr="00626C37">
        <w:rPr>
          <w:sz w:val="18"/>
          <w:szCs w:val="18"/>
          <w:lang w:val="fr-FR" w:eastAsia="es-ES"/>
        </w:rPr>
        <w:t xml:space="preserve">François Crépeau, 2012. </w:t>
      </w:r>
    </w:p>
    <w:p w:rsidR="000F52F9" w:rsidRDefault="000F52F9" w:rsidP="008F49D8">
      <w:pPr>
        <w:pStyle w:val="ListParagraph"/>
        <w:spacing w:after="0" w:line="240" w:lineRule="auto"/>
        <w:ind w:left="0"/>
        <w:jc w:val="both"/>
        <w:rPr>
          <w:sz w:val="18"/>
          <w:szCs w:val="18"/>
          <w:lang w:val="fr-FR" w:eastAsia="es-ES"/>
        </w:rPr>
      </w:pPr>
      <w:hyperlink r:id="rId18" w:history="1">
        <w:r w:rsidRPr="00626C37">
          <w:rPr>
            <w:rStyle w:val="Hyperlink"/>
            <w:sz w:val="18"/>
            <w:szCs w:val="18"/>
            <w:lang w:val="fr-FR" w:eastAsia="es-ES"/>
          </w:rPr>
          <w:t>http://daccess-dds-ny.un.org/doc/UNDOC/GEN/G12/125/96/PDF/G1212596.pdf?OpenElement</w:t>
        </w:r>
      </w:hyperlink>
      <w:r w:rsidRPr="00626C37">
        <w:rPr>
          <w:sz w:val="18"/>
          <w:szCs w:val="18"/>
          <w:lang w:val="fr-FR" w:eastAsia="es-ES"/>
        </w:rPr>
        <w:t xml:space="preserve"> </w:t>
      </w:r>
    </w:p>
    <w:p w:rsidR="000F52F9" w:rsidRDefault="000F52F9" w:rsidP="008F49D8">
      <w:pPr>
        <w:pStyle w:val="ListParagraph"/>
        <w:spacing w:after="0" w:line="240" w:lineRule="auto"/>
        <w:ind w:left="0"/>
        <w:jc w:val="both"/>
      </w:pPr>
      <w:r w:rsidRPr="00626C37">
        <w:rPr>
          <w:sz w:val="18"/>
          <w:szCs w:val="18"/>
          <w:lang w:val="fr-FR" w:eastAsia="es-ES"/>
        </w:rPr>
        <w:t xml:space="preserve">(retrieved: </w:t>
      </w:r>
      <w:r>
        <w:rPr>
          <w:sz w:val="18"/>
          <w:szCs w:val="18"/>
          <w:lang w:val="fr-FR" w:eastAsia="es-ES"/>
        </w:rPr>
        <w:t>March 5, 2015</w:t>
      </w:r>
      <w:r w:rsidRPr="00626C37">
        <w:rPr>
          <w:sz w:val="18"/>
          <w:szCs w:val="18"/>
          <w:lang w:val="fr-FR" w:eastAsia="es-ES"/>
        </w:rPr>
        <w:t>).</w:t>
      </w:r>
    </w:p>
  </w:footnote>
  <w:footnote w:id="34">
    <w:p w:rsidR="000F52F9" w:rsidRPr="00626C37" w:rsidRDefault="000F52F9" w:rsidP="008F49D8">
      <w:pPr>
        <w:pStyle w:val="ListParagraph"/>
        <w:spacing w:after="0" w:line="240" w:lineRule="auto"/>
        <w:ind w:left="0"/>
        <w:jc w:val="both"/>
        <w:rPr>
          <w:sz w:val="18"/>
          <w:szCs w:val="18"/>
          <w:lang w:val="en-GB"/>
        </w:rPr>
      </w:pPr>
      <w:r w:rsidRPr="00626C37">
        <w:rPr>
          <w:rStyle w:val="FootnoteReference"/>
          <w:sz w:val="18"/>
          <w:szCs w:val="18"/>
        </w:rPr>
        <w:footnoteRef/>
      </w:r>
      <w:r w:rsidRPr="00626C37">
        <w:rPr>
          <w:sz w:val="18"/>
          <w:szCs w:val="18"/>
          <w:lang w:val="en-GB"/>
        </w:rPr>
        <w:t xml:space="preserve"> </w:t>
      </w:r>
      <w:r w:rsidRPr="00626C37">
        <w:rPr>
          <w:sz w:val="18"/>
          <w:szCs w:val="18"/>
          <w:lang w:val="en-GB" w:eastAsia="es-ES"/>
        </w:rPr>
        <w:t xml:space="preserve">UN, United Nations, Human Rights Council. </w:t>
      </w:r>
      <w:r w:rsidRPr="00626C37">
        <w:rPr>
          <w:sz w:val="18"/>
          <w:szCs w:val="18"/>
          <w:lang w:val="en-GB"/>
        </w:rPr>
        <w:t xml:space="preserve">Report of the Special Rapporteur on the human rights of migrants, François Crépeau, Regional study: management of the external borders of the European Union and its impact on the human rights of migrants, 2012. </w:t>
      </w:r>
    </w:p>
    <w:p w:rsidR="000F52F9" w:rsidRDefault="000F52F9" w:rsidP="008F49D8">
      <w:pPr>
        <w:pStyle w:val="ListParagraph"/>
        <w:spacing w:after="0" w:line="240" w:lineRule="auto"/>
        <w:ind w:left="0"/>
        <w:jc w:val="both"/>
      </w:pPr>
      <w:hyperlink r:id="rId19" w:history="1">
        <w:r w:rsidRPr="00626C37">
          <w:rPr>
            <w:rStyle w:val="Hyperlink"/>
            <w:sz w:val="18"/>
            <w:szCs w:val="18"/>
            <w:lang w:val="en-GB"/>
          </w:rPr>
          <w:t>http://www.ohchr.org/Documents/HRBodies/HRCouncil/RegularSession/Session23/A.HRC.23.46_en.pdf</w:t>
        </w:r>
      </w:hyperlink>
      <w:r w:rsidRPr="00626C37">
        <w:rPr>
          <w:sz w:val="18"/>
          <w:szCs w:val="18"/>
          <w:lang w:val="en-GB"/>
        </w:rPr>
        <w:t xml:space="preserve"> </w:t>
      </w:r>
      <w:r w:rsidRPr="00626C37">
        <w:rPr>
          <w:sz w:val="18"/>
          <w:szCs w:val="18"/>
          <w:lang w:val="en-GB" w:eastAsia="es-ES"/>
        </w:rPr>
        <w:t xml:space="preserve">(retrieved: </w:t>
      </w:r>
      <w:r>
        <w:rPr>
          <w:sz w:val="18"/>
          <w:szCs w:val="18"/>
          <w:lang w:val="en-GB" w:eastAsia="es-ES"/>
        </w:rPr>
        <w:t>March 5, 2015</w:t>
      </w:r>
      <w:r w:rsidRPr="00626C37">
        <w:rPr>
          <w:sz w:val="18"/>
          <w:szCs w:val="18"/>
          <w:lang w:val="en-GB" w:eastAsia="es-ES"/>
        </w:rPr>
        <w:t>).</w:t>
      </w:r>
    </w:p>
  </w:footnote>
  <w:footnote w:id="35">
    <w:p w:rsidR="000F52F9" w:rsidRDefault="000F52F9" w:rsidP="008F49D8">
      <w:pPr>
        <w:pStyle w:val="ListParagraph"/>
        <w:spacing w:after="0" w:line="240" w:lineRule="auto"/>
        <w:ind w:left="0"/>
        <w:jc w:val="both"/>
        <w:rPr>
          <w:sz w:val="18"/>
          <w:szCs w:val="18"/>
          <w:lang w:val="en-GB"/>
        </w:rPr>
      </w:pPr>
      <w:r w:rsidRPr="00626C37">
        <w:rPr>
          <w:rStyle w:val="FootnoteReference"/>
          <w:sz w:val="18"/>
          <w:szCs w:val="18"/>
        </w:rPr>
        <w:footnoteRef/>
      </w:r>
      <w:r w:rsidRPr="00626C37">
        <w:rPr>
          <w:sz w:val="18"/>
          <w:szCs w:val="18"/>
          <w:lang w:val="en-GB"/>
        </w:rPr>
        <w:t xml:space="preserve"> </w:t>
      </w:r>
      <w:r w:rsidRPr="00626C37">
        <w:rPr>
          <w:sz w:val="18"/>
          <w:szCs w:val="18"/>
          <w:lang w:val="en-US"/>
        </w:rPr>
        <w:t xml:space="preserve">Committee on Civil Liberties, Justice and Home Affairs, Directorate General Internal Policies of the Union, European Parliament. </w:t>
      </w:r>
      <w:r w:rsidRPr="00626C37">
        <w:rPr>
          <w:sz w:val="18"/>
          <w:szCs w:val="18"/>
          <w:lang w:val="en-GB"/>
        </w:rPr>
        <w:t xml:space="preserve">The conditions in centres for third country national (detention camps, open centres as well as transit centres and transit zones) with a particular focus on provisions and facilities for persons with special needs in the 25 EU member states. Study. Brussels: European Parliament, 2007. </w:t>
      </w:r>
    </w:p>
    <w:p w:rsidR="000F52F9" w:rsidRDefault="000F52F9" w:rsidP="008F49D8">
      <w:pPr>
        <w:pStyle w:val="ListParagraph"/>
        <w:spacing w:after="0" w:line="240" w:lineRule="auto"/>
        <w:ind w:left="0"/>
        <w:jc w:val="both"/>
      </w:pPr>
      <w:hyperlink r:id="rId20" w:history="1">
        <w:r w:rsidRPr="00626C37">
          <w:rPr>
            <w:rStyle w:val="Hyperlink"/>
            <w:rFonts w:cs="Tahoma"/>
            <w:sz w:val="18"/>
            <w:szCs w:val="18"/>
            <w:lang w:val="en-GB"/>
          </w:rPr>
          <w:t>http://www.aedh.eu/plugins/fckeditor/userfiles/file/Asile%20et%20immigration/Study_of_European_Parliament_about_detention_and_enferment_in_Europe.pdf</w:t>
        </w:r>
      </w:hyperlink>
      <w:r w:rsidRPr="00626C37">
        <w:rPr>
          <w:sz w:val="18"/>
          <w:szCs w:val="18"/>
          <w:lang w:val="en-GB"/>
        </w:rPr>
        <w:t xml:space="preserve"> </w:t>
      </w:r>
      <w:r w:rsidRPr="00626C37">
        <w:rPr>
          <w:sz w:val="18"/>
          <w:szCs w:val="18"/>
          <w:lang w:val="en-GB" w:eastAsia="es-ES"/>
        </w:rPr>
        <w:t xml:space="preserve">(retrieved: </w:t>
      </w:r>
      <w:r>
        <w:rPr>
          <w:sz w:val="18"/>
          <w:szCs w:val="18"/>
          <w:lang w:val="en-GB" w:eastAsia="es-ES"/>
        </w:rPr>
        <w:t>March 5, 2015</w:t>
      </w:r>
      <w:r w:rsidRPr="00626C37">
        <w:rPr>
          <w:sz w:val="18"/>
          <w:szCs w:val="18"/>
          <w:lang w:val="en-GB" w:eastAsia="es-ES"/>
        </w:rPr>
        <w:t>).</w:t>
      </w:r>
    </w:p>
  </w:footnote>
  <w:footnote w:id="36">
    <w:p w:rsidR="000F52F9" w:rsidRDefault="000F52F9" w:rsidP="008F49D8">
      <w:pPr>
        <w:pStyle w:val="FootnoteText"/>
        <w:jc w:val="both"/>
      </w:pPr>
      <w:r w:rsidRPr="00626C37">
        <w:rPr>
          <w:rStyle w:val="FootnoteReference"/>
          <w:sz w:val="18"/>
          <w:szCs w:val="18"/>
        </w:rPr>
        <w:footnoteRef/>
      </w:r>
      <w:r w:rsidRPr="00626C37">
        <w:rPr>
          <w:sz w:val="18"/>
          <w:szCs w:val="18"/>
          <w:lang w:val="en-GB"/>
        </w:rPr>
        <w:t xml:space="preserve"> Council of Europe. Resolution 1701(2010). Detention of asylum seekers and irregular migrants in Europe. </w:t>
      </w:r>
      <w:hyperlink r:id="rId21" w:history="1">
        <w:r w:rsidRPr="00626C37">
          <w:rPr>
            <w:rStyle w:val="Hyperlink"/>
            <w:sz w:val="18"/>
            <w:szCs w:val="18"/>
            <w:lang w:val="en-GB"/>
          </w:rPr>
          <w:t>http://assembly.coe.int/Mainf.asp?link=/Documents/AdoptedText/ta10/ERES1707.htm</w:t>
        </w:r>
      </w:hyperlink>
      <w:r w:rsidRPr="00626C37">
        <w:rPr>
          <w:sz w:val="18"/>
          <w:szCs w:val="18"/>
          <w:lang w:val="en-GB"/>
        </w:rPr>
        <w:t xml:space="preserve">  (retrieved : </w:t>
      </w:r>
      <w:r>
        <w:rPr>
          <w:sz w:val="18"/>
          <w:szCs w:val="18"/>
          <w:lang w:val="en-GB"/>
        </w:rPr>
        <w:t>March 5, 2015</w:t>
      </w:r>
      <w:r w:rsidRPr="00626C37">
        <w:rPr>
          <w:sz w:val="18"/>
          <w:szCs w:val="18"/>
          <w:lang w:val="en-GB"/>
        </w:rPr>
        <w:t xml:space="preserve">). </w:t>
      </w:r>
    </w:p>
  </w:footnote>
  <w:footnote w:id="37">
    <w:p w:rsidR="000F52F9" w:rsidRDefault="000F52F9" w:rsidP="005D4315">
      <w:pPr>
        <w:pStyle w:val="FootnoteText"/>
        <w:jc w:val="both"/>
      </w:pPr>
      <w:r w:rsidRPr="00626C37">
        <w:rPr>
          <w:rStyle w:val="FootnoteReference"/>
          <w:sz w:val="18"/>
          <w:szCs w:val="18"/>
        </w:rPr>
        <w:footnoteRef/>
      </w:r>
      <w:r w:rsidRPr="00A4132B">
        <w:rPr>
          <w:sz w:val="18"/>
          <w:szCs w:val="18"/>
          <w:lang w:val="en-GB"/>
        </w:rPr>
        <w:t xml:space="preserve"> </w:t>
      </w:r>
      <w:r w:rsidRPr="00626C37">
        <w:rPr>
          <w:sz w:val="18"/>
          <w:szCs w:val="18"/>
          <w:lang w:val="en-GB"/>
        </w:rPr>
        <w:t xml:space="preserve">Molnár Á, Ádány R, Ádám B, Gulis G, Kósa K. Health impact assessment and evaluation of a Roma housing project. Health &amp; Place 2010;16:1240-1247. </w:t>
      </w:r>
    </w:p>
  </w:footnote>
  <w:footnote w:id="38">
    <w:p w:rsidR="000F52F9" w:rsidRDefault="000F52F9" w:rsidP="005D4315">
      <w:pPr>
        <w:pStyle w:val="FootnoteText"/>
        <w:jc w:val="both"/>
      </w:pPr>
      <w:r w:rsidRPr="00626C37">
        <w:rPr>
          <w:rStyle w:val="FootnoteReference"/>
          <w:sz w:val="18"/>
          <w:szCs w:val="18"/>
        </w:rPr>
        <w:footnoteRef/>
      </w:r>
      <w:r w:rsidRPr="00A4132B">
        <w:rPr>
          <w:sz w:val="18"/>
          <w:szCs w:val="18"/>
          <w:lang w:val="en-GB"/>
        </w:rPr>
        <w:t xml:space="preserve"> Penka S, Kluge U, Vardar A, Borde T, Ingleby D. The concept of “intercultural opening”: the development of an assessment tool for the appraisal of its current implementation in the mental health care system. </w:t>
      </w:r>
      <w:r w:rsidRPr="00E211A7">
        <w:rPr>
          <w:sz w:val="18"/>
          <w:szCs w:val="18"/>
          <w:lang w:val="en-US"/>
        </w:rPr>
        <w:t>European Psychiatry 2012;27:563-569.</w:t>
      </w:r>
      <w:r w:rsidRPr="00E211A7">
        <w:rPr>
          <w:lang w:val="en-US"/>
        </w:rPr>
        <w:t xml:space="preserve"> </w:t>
      </w:r>
    </w:p>
  </w:footnote>
  <w:footnote w:id="39">
    <w:p w:rsidR="000F52F9" w:rsidRDefault="000F52F9" w:rsidP="00655704">
      <w:pPr>
        <w:pStyle w:val="FootnoteText"/>
        <w:jc w:val="both"/>
      </w:pPr>
      <w:r w:rsidRPr="00626C37">
        <w:rPr>
          <w:rStyle w:val="FootnoteReference"/>
          <w:sz w:val="18"/>
          <w:szCs w:val="18"/>
        </w:rPr>
        <w:footnoteRef/>
      </w:r>
      <w:r w:rsidRPr="00A4132B">
        <w:rPr>
          <w:sz w:val="18"/>
          <w:szCs w:val="18"/>
          <w:lang w:val="da-DK"/>
        </w:rPr>
        <w:t xml:space="preserve"> Molnár, et al. 2010, op. cit. </w:t>
      </w:r>
    </w:p>
  </w:footnote>
  <w:footnote w:id="40">
    <w:p w:rsidR="000F52F9" w:rsidRDefault="000F52F9" w:rsidP="00625948">
      <w:pPr>
        <w:pStyle w:val="FootnoteText"/>
        <w:jc w:val="both"/>
      </w:pPr>
      <w:r w:rsidRPr="00626C37">
        <w:rPr>
          <w:rStyle w:val="FootnoteReference"/>
          <w:sz w:val="18"/>
          <w:szCs w:val="18"/>
        </w:rPr>
        <w:footnoteRef/>
      </w:r>
      <w:r w:rsidRPr="00A4132B">
        <w:rPr>
          <w:sz w:val="18"/>
          <w:szCs w:val="18"/>
          <w:lang w:val="en-GB"/>
        </w:rPr>
        <w:t xml:space="preserve"> Quigley RL, den Broeder P, Furu A, Bond BC, Bos</w:t>
      </w:r>
      <w:r>
        <w:rPr>
          <w:sz w:val="18"/>
          <w:szCs w:val="18"/>
          <w:lang w:val="en-GB"/>
        </w:rPr>
        <w:t xml:space="preserve"> R</w:t>
      </w:r>
      <w:r w:rsidRPr="00A4132B">
        <w:rPr>
          <w:sz w:val="18"/>
          <w:szCs w:val="18"/>
          <w:lang w:val="en-GB"/>
        </w:rPr>
        <w:t xml:space="preserve">. Health Impact Assessment International Best Practice Principles. Special Publication Series No. 5. Fargo, USA: International Association for Impact Assessment, 2006. </w:t>
      </w:r>
      <w:hyperlink r:id="rId22" w:history="1">
        <w:r w:rsidRPr="0043769F">
          <w:rPr>
            <w:rStyle w:val="Hyperlink"/>
            <w:sz w:val="18"/>
            <w:szCs w:val="18"/>
            <w:lang w:val="en-GB"/>
          </w:rPr>
          <w:t>http://www.iaia.org/publicdocuments/special-publications/SP5.pdf?AspxAutoDetectCookieSupport=1</w:t>
        </w:r>
      </w:hyperlink>
      <w:r w:rsidRPr="0043769F">
        <w:rPr>
          <w:sz w:val="18"/>
          <w:szCs w:val="18"/>
          <w:lang w:val="en-GB"/>
        </w:rPr>
        <w:t xml:space="preserve"> (retrieved: </w:t>
      </w:r>
      <w:r>
        <w:rPr>
          <w:sz w:val="18"/>
          <w:szCs w:val="18"/>
          <w:lang w:val="en-GB"/>
        </w:rPr>
        <w:t>March 5, 2015</w:t>
      </w:r>
      <w:r w:rsidRPr="0043769F">
        <w:rPr>
          <w:sz w:val="18"/>
          <w:szCs w:val="18"/>
          <w:lang w:val="en-GB"/>
        </w:rPr>
        <w:t xml:space="preserve">). </w:t>
      </w:r>
    </w:p>
  </w:footnote>
  <w:footnote w:id="41">
    <w:p w:rsidR="000F52F9" w:rsidRDefault="000F52F9" w:rsidP="002F1CC0">
      <w:pPr>
        <w:pStyle w:val="FootnoteText"/>
        <w:jc w:val="both"/>
        <w:rPr>
          <w:sz w:val="18"/>
          <w:szCs w:val="18"/>
          <w:lang w:val="en-GB"/>
        </w:rPr>
      </w:pPr>
      <w:r w:rsidRPr="00626C37">
        <w:rPr>
          <w:rStyle w:val="FootnoteReference"/>
          <w:sz w:val="18"/>
          <w:szCs w:val="18"/>
        </w:rPr>
        <w:footnoteRef/>
      </w:r>
      <w:r>
        <w:rPr>
          <w:sz w:val="18"/>
          <w:szCs w:val="18"/>
          <w:lang w:val="en-GB"/>
        </w:rPr>
        <w:t xml:space="preserve"> </w:t>
      </w:r>
      <w:r w:rsidRPr="00626C37">
        <w:rPr>
          <w:sz w:val="18"/>
          <w:szCs w:val="18"/>
          <w:lang w:val="en-GB"/>
        </w:rPr>
        <w:t xml:space="preserve">WHO, World Health Organization. Health Impact Assessment (HIA). About HIA, 2014a. </w:t>
      </w:r>
    </w:p>
    <w:p w:rsidR="000F52F9" w:rsidRDefault="000F52F9" w:rsidP="002F1CC0">
      <w:pPr>
        <w:pStyle w:val="FootnoteText"/>
        <w:jc w:val="both"/>
      </w:pPr>
      <w:hyperlink r:id="rId23" w:history="1">
        <w:r w:rsidRPr="00626C37">
          <w:rPr>
            <w:rStyle w:val="Hyperlink"/>
            <w:sz w:val="18"/>
            <w:szCs w:val="18"/>
            <w:lang w:val="en-GB"/>
          </w:rPr>
          <w:t>http://www.who.int/hia/about/en/</w:t>
        </w:r>
      </w:hyperlink>
      <w:r w:rsidRPr="00626C37">
        <w:rPr>
          <w:sz w:val="18"/>
          <w:szCs w:val="18"/>
          <w:lang w:val="en-GB"/>
        </w:rPr>
        <w:t xml:space="preserve"> (retrieved: </w:t>
      </w:r>
      <w:r>
        <w:rPr>
          <w:sz w:val="18"/>
          <w:szCs w:val="18"/>
          <w:lang w:val="en-GB"/>
        </w:rPr>
        <w:t>March 5, 2015</w:t>
      </w:r>
      <w:r w:rsidRPr="00626C37">
        <w:rPr>
          <w:sz w:val="18"/>
          <w:szCs w:val="18"/>
          <w:lang w:val="en-GB"/>
        </w:rPr>
        <w:t xml:space="preserve">). </w:t>
      </w:r>
    </w:p>
  </w:footnote>
  <w:footnote w:id="42">
    <w:p w:rsidR="000F52F9" w:rsidRDefault="000F52F9" w:rsidP="00CE503F">
      <w:pPr>
        <w:pStyle w:val="FootnoteText"/>
        <w:jc w:val="both"/>
      </w:pPr>
      <w:r w:rsidRPr="00626C37">
        <w:rPr>
          <w:rStyle w:val="FootnoteReference"/>
          <w:sz w:val="18"/>
          <w:szCs w:val="18"/>
        </w:rPr>
        <w:footnoteRef/>
      </w:r>
      <w:r w:rsidRPr="00A4132B">
        <w:rPr>
          <w:sz w:val="18"/>
          <w:szCs w:val="18"/>
          <w:lang w:val="da-DK"/>
        </w:rPr>
        <w:t xml:space="preserve"> Quigley, et al. 2006, op. cit., p. 3.  </w:t>
      </w:r>
    </w:p>
  </w:footnote>
  <w:footnote w:id="43">
    <w:p w:rsidR="000F52F9" w:rsidRPr="00626C37" w:rsidRDefault="000F52F9" w:rsidP="00CE503F">
      <w:pPr>
        <w:pStyle w:val="FootnoteText"/>
        <w:jc w:val="both"/>
        <w:rPr>
          <w:sz w:val="18"/>
          <w:szCs w:val="18"/>
          <w:lang w:val="en-GB"/>
        </w:rPr>
      </w:pPr>
      <w:r w:rsidRPr="00626C37">
        <w:rPr>
          <w:rStyle w:val="FootnoteReference"/>
          <w:sz w:val="18"/>
          <w:szCs w:val="18"/>
        </w:rPr>
        <w:footnoteRef/>
      </w:r>
      <w:r w:rsidRPr="00A4132B">
        <w:rPr>
          <w:sz w:val="18"/>
          <w:szCs w:val="18"/>
          <w:lang w:val="en-GB"/>
        </w:rPr>
        <w:t xml:space="preserve"> WHO</w:t>
      </w:r>
      <w:r w:rsidRPr="00626C37">
        <w:rPr>
          <w:sz w:val="18"/>
          <w:szCs w:val="18"/>
          <w:lang w:val="en-GB"/>
        </w:rPr>
        <w:t xml:space="preserve">, World Health Organization. Health Impact Assessment (HIA). HIA Procedure, 2014b. </w:t>
      </w:r>
    </w:p>
    <w:p w:rsidR="000F52F9" w:rsidRDefault="000F52F9" w:rsidP="00CE503F">
      <w:pPr>
        <w:pStyle w:val="FootnoteText"/>
        <w:jc w:val="both"/>
      </w:pPr>
      <w:hyperlink r:id="rId24" w:history="1">
        <w:r w:rsidRPr="00626C37">
          <w:rPr>
            <w:rStyle w:val="Hyperlink"/>
            <w:sz w:val="18"/>
            <w:szCs w:val="18"/>
            <w:lang w:val="en-GB"/>
          </w:rPr>
          <w:t>http://www.who.int/hia/tools/en/</w:t>
        </w:r>
      </w:hyperlink>
      <w:r w:rsidRPr="00626C37">
        <w:rPr>
          <w:sz w:val="18"/>
          <w:szCs w:val="18"/>
          <w:lang w:val="en-GB"/>
        </w:rPr>
        <w:t xml:space="preserve">  (retrieved: </w:t>
      </w:r>
      <w:r>
        <w:rPr>
          <w:sz w:val="18"/>
          <w:szCs w:val="18"/>
          <w:lang w:val="en-GB"/>
        </w:rPr>
        <w:t>March 5, 2015</w:t>
      </w:r>
      <w:r w:rsidRPr="00626C37">
        <w:rPr>
          <w:sz w:val="18"/>
          <w:szCs w:val="18"/>
          <w:lang w:val="en-GB"/>
        </w:rPr>
        <w:t xml:space="preserve">). </w:t>
      </w:r>
    </w:p>
  </w:footnote>
  <w:footnote w:id="44">
    <w:p w:rsidR="000F52F9" w:rsidRDefault="000F52F9" w:rsidP="00CE503F">
      <w:pPr>
        <w:pStyle w:val="FootnoteText"/>
        <w:jc w:val="both"/>
      </w:pPr>
      <w:r w:rsidRPr="00626C37">
        <w:rPr>
          <w:rStyle w:val="FootnoteReference"/>
          <w:sz w:val="18"/>
          <w:szCs w:val="18"/>
        </w:rPr>
        <w:footnoteRef/>
      </w:r>
      <w:r w:rsidRPr="00626C37">
        <w:rPr>
          <w:sz w:val="18"/>
          <w:szCs w:val="18"/>
          <w:lang w:val="en-GB"/>
        </w:rPr>
        <w:t xml:space="preserve"> Jandu MB, Canuto de Medeiros B, Borugeault I, Tugwell P. The inclusion of migrants in health impact assessments: A scoping review. Environmental Impact Assessment Review 2015;50:16-24. </w:t>
      </w:r>
    </w:p>
  </w:footnote>
  <w:footnote w:id="45">
    <w:p w:rsidR="000F52F9" w:rsidRDefault="000F52F9" w:rsidP="002D3C88">
      <w:pPr>
        <w:pStyle w:val="FootnoteText"/>
        <w:jc w:val="both"/>
      </w:pPr>
      <w:r w:rsidRPr="00626C37">
        <w:rPr>
          <w:rStyle w:val="FootnoteReference"/>
          <w:sz w:val="18"/>
          <w:szCs w:val="18"/>
        </w:rPr>
        <w:footnoteRef/>
      </w:r>
      <w:r w:rsidRPr="00A4132B">
        <w:rPr>
          <w:sz w:val="18"/>
          <w:szCs w:val="18"/>
          <w:lang w:val="en-GB"/>
        </w:rPr>
        <w:t xml:space="preserve"> Molnár, et al. 2010, op. cit.</w:t>
      </w:r>
    </w:p>
  </w:footnote>
  <w:footnote w:id="46">
    <w:p w:rsidR="000F52F9" w:rsidRDefault="000F52F9" w:rsidP="009732DC">
      <w:pPr>
        <w:jc w:val="both"/>
      </w:pPr>
      <w:r>
        <w:rPr>
          <w:rStyle w:val="FootnoteReference"/>
        </w:rPr>
        <w:footnoteRef/>
      </w:r>
      <w:r w:rsidRPr="00F63717">
        <w:rPr>
          <w:lang w:val="en-US"/>
        </w:rPr>
        <w:t xml:space="preserve"> </w:t>
      </w:r>
      <w:r w:rsidRPr="009732DC">
        <w:rPr>
          <w:sz w:val="18"/>
          <w:szCs w:val="18"/>
          <w:lang w:val="en-GB"/>
        </w:rPr>
        <w:t>Chiarenza A, in collaboration with Project Group on Standards for Equity in Health Care for Migrants and Other Vulnerable Groups, HPH Task Force Migrant Friendly Hospitals and Health Services. Standards for equity in health care for migrants and other vulnerable groups. Self-Assessment Tool for Pilot Implementation. Reggio Emilia: Task Force Migrant Friendly Hospitals and Health Services, 2014.</w:t>
      </w:r>
    </w:p>
  </w:footnote>
  <w:footnote w:id="47">
    <w:p w:rsidR="000F52F9" w:rsidRDefault="000F52F9">
      <w:pPr>
        <w:pStyle w:val="FootnoteText"/>
      </w:pPr>
      <w:r w:rsidRPr="009732DC">
        <w:rPr>
          <w:rStyle w:val="FootnoteReference"/>
          <w:sz w:val="18"/>
          <w:szCs w:val="18"/>
        </w:rPr>
        <w:footnoteRef/>
      </w:r>
      <w:r w:rsidRPr="009732DC">
        <w:rPr>
          <w:sz w:val="18"/>
          <w:szCs w:val="18"/>
        </w:rPr>
        <w:t xml:space="preserve"> </w:t>
      </w:r>
      <w:r w:rsidRPr="009732DC">
        <w:rPr>
          <w:sz w:val="18"/>
          <w:szCs w:val="18"/>
          <w:lang w:val="es-ES_tradnl"/>
        </w:rPr>
        <w:t>Chiarenza 2014, et al., op. cit., p. 6.</w:t>
      </w:r>
    </w:p>
  </w:footnote>
  <w:footnote w:id="48">
    <w:p w:rsidR="000F52F9" w:rsidRDefault="000F52F9">
      <w:pPr>
        <w:pStyle w:val="FootnoteText"/>
      </w:pPr>
      <w:r w:rsidRPr="009732DC">
        <w:rPr>
          <w:rStyle w:val="FootnoteReference"/>
          <w:sz w:val="18"/>
          <w:szCs w:val="18"/>
        </w:rPr>
        <w:footnoteRef/>
      </w:r>
      <w:r w:rsidRPr="009732DC">
        <w:rPr>
          <w:sz w:val="18"/>
          <w:szCs w:val="18"/>
        </w:rPr>
        <w:t xml:space="preserve"> </w:t>
      </w:r>
      <w:r w:rsidRPr="009732DC">
        <w:rPr>
          <w:sz w:val="18"/>
          <w:szCs w:val="18"/>
          <w:lang w:val="es-ES_tradnl"/>
        </w:rPr>
        <w:t>Chiarenza 2014, et al., op. cit., p. 13.</w:t>
      </w:r>
    </w:p>
  </w:footnote>
  <w:footnote w:id="49">
    <w:p w:rsidR="000F52F9" w:rsidRDefault="000F52F9" w:rsidP="000D0280">
      <w:pPr>
        <w:pStyle w:val="FootnoteText"/>
        <w:jc w:val="both"/>
      </w:pPr>
      <w:r w:rsidRPr="00626C37">
        <w:rPr>
          <w:rStyle w:val="FootnoteReference"/>
          <w:sz w:val="18"/>
          <w:szCs w:val="18"/>
        </w:rPr>
        <w:footnoteRef/>
      </w:r>
      <w:r w:rsidRPr="00A4132B">
        <w:rPr>
          <w:sz w:val="18"/>
          <w:szCs w:val="18"/>
          <w:lang w:val="en-GB"/>
        </w:rPr>
        <w:t xml:space="preserve"> Huschke S. Performing deservingness. Hu</w:t>
      </w:r>
      <w:r>
        <w:rPr>
          <w:sz w:val="18"/>
          <w:szCs w:val="18"/>
          <w:lang w:val="en-GB"/>
        </w:rPr>
        <w:t>manitarian health care provision</w:t>
      </w:r>
      <w:r w:rsidRPr="00A4132B">
        <w:rPr>
          <w:sz w:val="18"/>
          <w:szCs w:val="18"/>
          <w:lang w:val="en-GB"/>
        </w:rPr>
        <w:t xml:space="preserve"> for migrants in Germany. Social Science &amp; Medicine 2014;120:352-359.</w:t>
      </w:r>
    </w:p>
  </w:footnote>
  <w:footnote w:id="50">
    <w:p w:rsidR="000F52F9" w:rsidRDefault="000F52F9" w:rsidP="000D0280">
      <w:pPr>
        <w:pStyle w:val="FootnoteText"/>
        <w:jc w:val="both"/>
      </w:pPr>
      <w:r w:rsidRPr="00626C37">
        <w:rPr>
          <w:rStyle w:val="FootnoteReference"/>
          <w:sz w:val="18"/>
          <w:szCs w:val="18"/>
        </w:rPr>
        <w:footnoteRef/>
      </w:r>
      <w:r w:rsidRPr="00A4132B">
        <w:rPr>
          <w:sz w:val="18"/>
          <w:szCs w:val="18"/>
          <w:lang w:val="en-GB"/>
        </w:rPr>
        <w:t xml:space="preserve"> Sime D. ‘I think that Polish doctors are better’: Newly arrived migrant children and their parents’ experiences and views of health services in Scotland. Health &amp; Place 2014;30:86-93. </w:t>
      </w:r>
    </w:p>
  </w:footnote>
  <w:footnote w:id="51">
    <w:p w:rsidR="000F52F9" w:rsidRPr="00626C37" w:rsidRDefault="000F52F9" w:rsidP="000D0280">
      <w:pPr>
        <w:widowControl w:val="0"/>
        <w:autoSpaceDE w:val="0"/>
        <w:autoSpaceDN w:val="0"/>
        <w:adjustRightInd w:val="0"/>
        <w:jc w:val="both"/>
        <w:rPr>
          <w:sz w:val="18"/>
          <w:szCs w:val="18"/>
          <w:lang w:val="fr-FR"/>
        </w:rPr>
      </w:pPr>
      <w:r w:rsidRPr="00626C37">
        <w:rPr>
          <w:rStyle w:val="FootnoteReference"/>
          <w:sz w:val="18"/>
          <w:szCs w:val="18"/>
        </w:rPr>
        <w:footnoteRef/>
      </w:r>
      <w:r w:rsidRPr="00A4132B">
        <w:rPr>
          <w:sz w:val="18"/>
          <w:szCs w:val="18"/>
          <w:lang w:val="en-GB"/>
        </w:rPr>
        <w:t xml:space="preserve"> </w:t>
      </w:r>
      <w:r w:rsidRPr="00626C37">
        <w:rPr>
          <w:sz w:val="18"/>
          <w:szCs w:val="18"/>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626C37">
        <w:rPr>
          <w:sz w:val="18"/>
          <w:szCs w:val="18"/>
          <w:lang w:val="fr-FR"/>
        </w:rPr>
        <w:t xml:space="preserve">Paris: Médicins du Monde, 2012. </w:t>
      </w:r>
    </w:p>
    <w:p w:rsidR="000F52F9" w:rsidRDefault="000F52F9" w:rsidP="00C1721B">
      <w:pPr>
        <w:widowControl w:val="0"/>
        <w:autoSpaceDE w:val="0"/>
        <w:autoSpaceDN w:val="0"/>
        <w:adjustRightInd w:val="0"/>
        <w:jc w:val="both"/>
      </w:pPr>
      <w:hyperlink r:id="rId25" w:history="1">
        <w:r w:rsidRPr="00C845E2">
          <w:rPr>
            <w:rStyle w:val="Hyperlink"/>
            <w:sz w:val="18"/>
            <w:szCs w:val="18"/>
            <w:lang w:val="en-GB"/>
          </w:rPr>
          <w:t>http://www.doktersvandewereld.be/sites/www.doktersvandewereld.be/files/publicatie/attachments/eu_vulnerable_groups_2012_mdm.pdf</w:t>
        </w:r>
      </w:hyperlink>
      <w:r w:rsidRPr="00C845E2">
        <w:rPr>
          <w:sz w:val="18"/>
          <w:szCs w:val="18"/>
          <w:lang w:val="en-GB"/>
        </w:rPr>
        <w:t xml:space="preserve"> </w:t>
      </w:r>
      <w:r w:rsidRPr="00C845E2">
        <w:rPr>
          <w:bCs/>
          <w:sz w:val="18"/>
          <w:szCs w:val="18"/>
          <w:lang w:val="en-GB"/>
        </w:rPr>
        <w:t xml:space="preserve">(retrieved: </w:t>
      </w:r>
      <w:r>
        <w:rPr>
          <w:bCs/>
          <w:sz w:val="18"/>
          <w:szCs w:val="18"/>
          <w:lang w:val="en-GB"/>
        </w:rPr>
        <w:t>March 5</w:t>
      </w:r>
      <w:r w:rsidRPr="00C845E2">
        <w:rPr>
          <w:bCs/>
          <w:sz w:val="18"/>
          <w:szCs w:val="18"/>
          <w:lang w:val="en-GB"/>
        </w:rPr>
        <w:t>, 2015).</w:t>
      </w:r>
    </w:p>
  </w:footnote>
  <w:footnote w:id="52">
    <w:p w:rsidR="000F52F9" w:rsidRPr="00626C37" w:rsidRDefault="000F52F9" w:rsidP="00C1721B">
      <w:pPr>
        <w:widowControl w:val="0"/>
        <w:autoSpaceDE w:val="0"/>
        <w:autoSpaceDN w:val="0"/>
        <w:adjustRightInd w:val="0"/>
        <w:jc w:val="both"/>
        <w:rPr>
          <w:sz w:val="18"/>
          <w:szCs w:val="18"/>
          <w:lang w:val="fr-FR"/>
        </w:rPr>
      </w:pPr>
      <w:r w:rsidRPr="00626C37">
        <w:rPr>
          <w:rStyle w:val="FootnoteReference"/>
          <w:sz w:val="18"/>
          <w:szCs w:val="18"/>
        </w:rPr>
        <w:footnoteRef/>
      </w:r>
      <w:r w:rsidRPr="00A4132B">
        <w:rPr>
          <w:sz w:val="18"/>
          <w:szCs w:val="18"/>
          <w:lang w:val="en-GB"/>
        </w:rPr>
        <w:t xml:space="preserve"> </w:t>
      </w:r>
      <w:r w:rsidRPr="00626C37">
        <w:rPr>
          <w:rStyle w:val="FootnoteReference"/>
          <w:sz w:val="18"/>
          <w:szCs w:val="18"/>
        </w:rPr>
        <w:footnoteRef/>
      </w:r>
      <w:r w:rsidRPr="00626C37">
        <w:rPr>
          <w:sz w:val="18"/>
          <w:szCs w:val="18"/>
          <w:lang w:val="en-GB"/>
        </w:rPr>
        <w:t xml:space="preserve"> Médicins du Monde (Doctors of the World), Chauvin D, Simonnot N, Vanbiervliet F, et al. Access to Health Care in Europe in Times of Crisis and Rising Xenophobia: An Overview of the Situation of People Excluded from Health Care Systems. </w:t>
      </w:r>
      <w:r w:rsidRPr="00626C37">
        <w:rPr>
          <w:sz w:val="18"/>
          <w:szCs w:val="18"/>
          <w:lang w:val="fr-FR"/>
        </w:rPr>
        <w:t xml:space="preserve">Paris: Médicins du Monde, 2013. </w:t>
      </w:r>
    </w:p>
    <w:p w:rsidR="000F52F9" w:rsidRDefault="000F52F9" w:rsidP="00C1721B">
      <w:pPr>
        <w:widowControl w:val="0"/>
        <w:autoSpaceDE w:val="0"/>
        <w:autoSpaceDN w:val="0"/>
        <w:adjustRightInd w:val="0"/>
        <w:jc w:val="both"/>
      </w:pPr>
      <w:hyperlink r:id="rId26" w:history="1">
        <w:r w:rsidRPr="00C845E2">
          <w:rPr>
            <w:rStyle w:val="Hyperlink"/>
            <w:sz w:val="18"/>
            <w:szCs w:val="18"/>
            <w:lang w:val="en-GB"/>
          </w:rPr>
          <w:t>http://b.3cdn.net/droftheworld/d137240498b91ca33e_jhm62yjg1.pdf</w:t>
        </w:r>
      </w:hyperlink>
      <w:r w:rsidRPr="00C845E2">
        <w:rPr>
          <w:sz w:val="18"/>
          <w:szCs w:val="18"/>
          <w:lang w:val="en-GB"/>
        </w:rPr>
        <w:t xml:space="preserve"> </w:t>
      </w:r>
      <w:r w:rsidRPr="00C845E2">
        <w:rPr>
          <w:bCs/>
          <w:sz w:val="18"/>
          <w:szCs w:val="18"/>
          <w:lang w:val="en-GB"/>
        </w:rPr>
        <w:t xml:space="preserve">(retrieved: </w:t>
      </w:r>
      <w:r>
        <w:rPr>
          <w:bCs/>
          <w:sz w:val="18"/>
          <w:szCs w:val="18"/>
          <w:lang w:val="en-GB"/>
        </w:rPr>
        <w:t>March 5</w:t>
      </w:r>
      <w:r w:rsidRPr="00C845E2">
        <w:rPr>
          <w:bCs/>
          <w:sz w:val="18"/>
          <w:szCs w:val="18"/>
          <w:lang w:val="en-GB"/>
        </w:rPr>
        <w:t>, 2015).</w:t>
      </w:r>
    </w:p>
  </w:footnote>
  <w:footnote w:id="53">
    <w:p w:rsidR="000F52F9" w:rsidRDefault="000F52F9" w:rsidP="004A4728">
      <w:pPr>
        <w:pStyle w:val="FootnoteText"/>
        <w:jc w:val="both"/>
      </w:pPr>
      <w:r w:rsidRPr="00626C37">
        <w:rPr>
          <w:rStyle w:val="FootnoteReference"/>
          <w:sz w:val="18"/>
          <w:szCs w:val="18"/>
        </w:rPr>
        <w:footnoteRef/>
      </w:r>
      <w:r w:rsidRPr="00A4132B">
        <w:rPr>
          <w:sz w:val="18"/>
          <w:szCs w:val="18"/>
          <w:lang w:val="da-DK"/>
        </w:rPr>
        <w:t xml:space="preserve"> Molnár, et al. 2010, op. cit. </w:t>
      </w:r>
    </w:p>
  </w:footnote>
  <w:footnote w:id="54">
    <w:p w:rsidR="000F52F9" w:rsidRDefault="000F52F9" w:rsidP="004A4728">
      <w:pPr>
        <w:pStyle w:val="FootnoteText"/>
      </w:pPr>
      <w:r w:rsidRPr="00626C37">
        <w:rPr>
          <w:rStyle w:val="FootnoteReference"/>
          <w:sz w:val="18"/>
          <w:szCs w:val="18"/>
        </w:rPr>
        <w:footnoteRef/>
      </w:r>
      <w:r w:rsidRPr="0043769F">
        <w:rPr>
          <w:sz w:val="18"/>
          <w:szCs w:val="18"/>
          <w:lang w:val="da-DK"/>
        </w:rPr>
        <w:t xml:space="preserve"> Sime 2014, op. cit. </w:t>
      </w:r>
    </w:p>
  </w:footnote>
  <w:footnote w:id="55">
    <w:p w:rsidR="000F52F9" w:rsidRDefault="000F52F9" w:rsidP="004A4728">
      <w:pPr>
        <w:pStyle w:val="FootnoteText"/>
      </w:pPr>
      <w:r w:rsidRPr="00626C37">
        <w:rPr>
          <w:rStyle w:val="FootnoteReference"/>
          <w:sz w:val="18"/>
          <w:szCs w:val="18"/>
        </w:rPr>
        <w:footnoteRef/>
      </w:r>
      <w:r>
        <w:rPr>
          <w:sz w:val="18"/>
          <w:szCs w:val="18"/>
          <w:lang w:val="da-DK"/>
        </w:rPr>
        <w:t xml:space="preserve"> Mock-Muñoz de Luna, et al. 2015</w:t>
      </w:r>
      <w:r w:rsidRPr="0043769F">
        <w:rPr>
          <w:sz w:val="18"/>
          <w:szCs w:val="18"/>
          <w:lang w:val="da-DK"/>
        </w:rPr>
        <w:t xml:space="preserve">a, op. cit. </w:t>
      </w:r>
    </w:p>
  </w:footnote>
  <w:footnote w:id="56">
    <w:p w:rsidR="000F52F9" w:rsidRDefault="000F52F9" w:rsidP="00106B3B">
      <w:pPr>
        <w:pStyle w:val="FootnoteText"/>
        <w:jc w:val="both"/>
      </w:pPr>
      <w:r w:rsidRPr="00626C37">
        <w:rPr>
          <w:rStyle w:val="FootnoteReference"/>
          <w:sz w:val="18"/>
          <w:szCs w:val="18"/>
        </w:rPr>
        <w:footnoteRef/>
      </w:r>
      <w:r>
        <w:rPr>
          <w:sz w:val="18"/>
          <w:szCs w:val="18"/>
          <w:lang w:val="da-DK"/>
        </w:rPr>
        <w:t xml:space="preserve"> Mock-Muñoz de Luna, et al. 2015</w:t>
      </w:r>
      <w:r w:rsidRPr="0043769F">
        <w:rPr>
          <w:sz w:val="18"/>
          <w:szCs w:val="18"/>
          <w:lang w:val="da-DK"/>
        </w:rPr>
        <w:t xml:space="preserve">a, op. cit. </w:t>
      </w:r>
    </w:p>
  </w:footnote>
  <w:footnote w:id="57">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Mladovsky P, Rechel B, Ingleby D, McKee M. Responding to diversity: An exploratory study of migrant health policies in Europe. Health Policy 2012;105:1-9. </w:t>
      </w:r>
    </w:p>
  </w:footnote>
  <w:footnote w:id="58">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w:t>
      </w:r>
      <w:r w:rsidRPr="00626C37">
        <w:rPr>
          <w:sz w:val="18"/>
          <w:szCs w:val="18"/>
          <w:lang w:val="en-GB"/>
        </w:rPr>
        <w:t xml:space="preserve">Keygnaert I, Guieu A, Ooms G, Vettenburg N, Temmerman M, Roelens K. Sexual and reproductive health of migrants: Does the EU care? Health Policies 2014;114:215-225. </w:t>
      </w:r>
    </w:p>
  </w:footnote>
  <w:footnote w:id="59">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Rechel B, Mladovsky P, Devillé W. Monitoring migrant health in Europe: A narrative review of data collection practices. Health Policy 2012;105:10-16. </w:t>
      </w:r>
    </w:p>
  </w:footnote>
  <w:footnote w:id="60">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Mladovsky P. A framework for analysing migrant health policies in Europe. Health Policy 2009;93:55-63.</w:t>
      </w:r>
    </w:p>
  </w:footnote>
  <w:footnote w:id="61">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Vázquez ML, Terraza-Núñez R, S-Hernández S, Vargas I, Bosch L, González A, et al. Are migrants health policies aimed at improving access to quality healthcare? An analysis of Spanish policies. Health Policy 2013;113:236-246.</w:t>
      </w:r>
    </w:p>
  </w:footnote>
  <w:footnote w:id="62">
    <w:p w:rsidR="000F52F9" w:rsidRDefault="000F52F9" w:rsidP="00106B3B">
      <w:pPr>
        <w:pStyle w:val="FootnoteText"/>
        <w:jc w:val="both"/>
      </w:pPr>
      <w:r w:rsidRPr="00626C37">
        <w:rPr>
          <w:rStyle w:val="FootnoteReference"/>
          <w:sz w:val="18"/>
          <w:szCs w:val="18"/>
        </w:rPr>
        <w:footnoteRef/>
      </w:r>
      <w:r w:rsidRPr="00A4132B">
        <w:rPr>
          <w:sz w:val="18"/>
          <w:szCs w:val="18"/>
          <w:lang w:val="en-GB"/>
        </w:rPr>
        <w:t xml:space="preserve"> Ingleby 2009, op. cit.</w:t>
      </w:r>
      <w:r w:rsidRPr="00A4132B">
        <w:rPr>
          <w:lang w:val="en-GB"/>
        </w:rPr>
        <w:t xml:space="preserve"> </w:t>
      </w:r>
    </w:p>
  </w:footnote>
  <w:footnote w:id="63">
    <w:p w:rsidR="000F52F9" w:rsidRDefault="000F52F9">
      <w:pPr>
        <w:pStyle w:val="FootnoteText"/>
      </w:pPr>
      <w:r w:rsidRPr="00933147">
        <w:rPr>
          <w:rStyle w:val="FootnoteReference"/>
          <w:sz w:val="18"/>
          <w:szCs w:val="18"/>
        </w:rPr>
        <w:footnoteRef/>
      </w:r>
      <w:r w:rsidRPr="00933147">
        <w:rPr>
          <w:sz w:val="18"/>
          <w:szCs w:val="18"/>
        </w:rPr>
        <w:t xml:space="preserve"> </w:t>
      </w:r>
      <w:r w:rsidRPr="00933147">
        <w:rPr>
          <w:sz w:val="18"/>
          <w:szCs w:val="18"/>
          <w:lang w:val="es-ES_tradnl"/>
        </w:rPr>
        <w:t>Mock-Muñoz de Luna 2015a, op. cit.</w:t>
      </w:r>
    </w:p>
  </w:footnote>
  <w:footnote w:id="64">
    <w:p w:rsidR="000F52F9" w:rsidRDefault="000F52F9" w:rsidP="00933147">
      <w:pPr>
        <w:pStyle w:val="FootnoteText"/>
        <w:jc w:val="both"/>
      </w:pPr>
      <w:r w:rsidRPr="00933147">
        <w:rPr>
          <w:rStyle w:val="FootnoteReference"/>
          <w:sz w:val="18"/>
          <w:szCs w:val="18"/>
        </w:rPr>
        <w:footnoteRef/>
      </w:r>
      <w:r w:rsidRPr="00F63717">
        <w:rPr>
          <w:sz w:val="18"/>
          <w:szCs w:val="18"/>
          <w:lang w:val="en-US"/>
        </w:rPr>
        <w:t xml:space="preserve"> Mladovsky P. Migration and health in the EU. London: LSE Research Note, 2007. </w:t>
      </w:r>
    </w:p>
  </w:footnote>
  <w:footnote w:id="65">
    <w:p w:rsidR="000F52F9" w:rsidRDefault="000F52F9" w:rsidP="00933147">
      <w:pPr>
        <w:pStyle w:val="FootnoteText"/>
        <w:jc w:val="both"/>
      </w:pPr>
      <w:r w:rsidRPr="00933147">
        <w:rPr>
          <w:rStyle w:val="FootnoteReference"/>
          <w:sz w:val="18"/>
          <w:szCs w:val="18"/>
        </w:rPr>
        <w:footnoteRef/>
      </w:r>
      <w:r w:rsidRPr="00F63717">
        <w:rPr>
          <w:sz w:val="18"/>
          <w:szCs w:val="18"/>
          <w:lang w:val="en-US"/>
        </w:rPr>
        <w:t xml:space="preserve"> Bhopal R. Migration, ethnicity, race and health in multicultural societies. Oxford: Exford University Press, 2014. </w:t>
      </w:r>
    </w:p>
  </w:footnote>
  <w:footnote w:id="66">
    <w:p w:rsidR="000F52F9" w:rsidRDefault="000F52F9" w:rsidP="00933147">
      <w:pPr>
        <w:pStyle w:val="FootnoteText"/>
        <w:jc w:val="both"/>
      </w:pPr>
      <w:r w:rsidRPr="00933147">
        <w:rPr>
          <w:rStyle w:val="FootnoteReference"/>
          <w:sz w:val="18"/>
          <w:szCs w:val="18"/>
        </w:rPr>
        <w:footnoteRef/>
      </w:r>
      <w:r w:rsidRPr="00F63717">
        <w:rPr>
          <w:sz w:val="18"/>
          <w:szCs w:val="18"/>
          <w:lang w:val="en-US"/>
        </w:rPr>
        <w:t xml:space="preserve"> Abdikeeva a. Measure, Plan, Act. Ow data collection can support racial equality. Brussels: European Network Against Racism (ENAR), 2014. </w:t>
      </w:r>
    </w:p>
  </w:footnote>
  <w:footnote w:id="67">
    <w:p w:rsidR="000F52F9" w:rsidRDefault="000F52F9" w:rsidP="00933147">
      <w:pPr>
        <w:pStyle w:val="FootnoteText"/>
        <w:jc w:val="both"/>
      </w:pPr>
      <w:r w:rsidRPr="00933147">
        <w:rPr>
          <w:rStyle w:val="FootnoteReference"/>
          <w:sz w:val="18"/>
          <w:szCs w:val="18"/>
        </w:rPr>
        <w:footnoteRef/>
      </w:r>
      <w:r w:rsidRPr="00F63717">
        <w:rPr>
          <w:sz w:val="18"/>
          <w:szCs w:val="18"/>
          <w:lang w:val="en-US"/>
        </w:rPr>
        <w:t xml:space="preserve"> Jayaweera J. Health of Migrants in the UK: What Do We Know. Migration Observatory Briefing. COMPAS, University of Oxford, 2011. </w:t>
      </w:r>
    </w:p>
  </w:footnote>
  <w:footnote w:id="68">
    <w:p w:rsidR="000F52F9" w:rsidRDefault="000F52F9" w:rsidP="00933147">
      <w:pPr>
        <w:pStyle w:val="FootnoteText"/>
        <w:jc w:val="both"/>
      </w:pPr>
      <w:r w:rsidRPr="00933147">
        <w:rPr>
          <w:rStyle w:val="FootnoteReference"/>
          <w:sz w:val="18"/>
          <w:szCs w:val="18"/>
        </w:rPr>
        <w:footnoteRef/>
      </w:r>
      <w:r w:rsidRPr="00F63717">
        <w:rPr>
          <w:sz w:val="18"/>
          <w:szCs w:val="18"/>
          <w:lang w:val="en-US"/>
        </w:rPr>
        <w:t xml:space="preserve"> Stronks K, Glasgow IK, Lazinga N. The identification of ethnic groups in health research, additional to the country of birth classification. </w:t>
      </w:r>
      <w:r w:rsidRPr="00933147">
        <w:rPr>
          <w:sz w:val="18"/>
          <w:szCs w:val="18"/>
          <w:lang w:val="es-ES_tradnl"/>
        </w:rPr>
        <w:t>Amsterdam: University of Amsterdam, Department of Social Medicin, 2004.</w:t>
      </w:r>
      <w:r>
        <w:rPr>
          <w:lang w:val="es-ES_tradn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Pr="007F29F4" w:rsidRDefault="000F52F9" w:rsidP="007F29F4">
    <w:pPr>
      <w:pBdr>
        <w:bottom w:val="single" w:sz="4" w:space="1" w:color="auto"/>
      </w:pBdr>
      <w:jc w:val="right"/>
      <w:rPr>
        <w:rStyle w:val="HeaderChar1"/>
        <w:rFonts w:ascii="Verdana" w:hAnsi="Verdana"/>
        <w:sz w:val="18"/>
      </w:rPr>
    </w:pPr>
    <w:r>
      <w:rPr>
        <w:rStyle w:val="HeaderChar1"/>
        <w:sz w:val="22"/>
      </w:rPr>
      <w:tab/>
    </w:r>
    <w:r w:rsidRPr="007F29F4">
      <w:rPr>
        <w:rStyle w:val="HeaderChar1"/>
        <w:rFonts w:ascii="Verdana" w:hAnsi="Verdana"/>
        <w:sz w:val="22"/>
      </w:rPr>
      <w:tab/>
    </w:r>
    <w:r w:rsidRPr="007F29F4">
      <w:rPr>
        <w:rStyle w:val="HeaderChar1"/>
        <w:rFonts w:ascii="Verdana" w:hAnsi="Verdana"/>
        <w:sz w:val="16"/>
        <w:szCs w:val="16"/>
      </w:rPr>
      <w:tab/>
    </w:r>
    <w:r w:rsidRPr="007F29F4">
      <w:rPr>
        <w:rStyle w:val="HeaderChar1"/>
        <w:rFonts w:ascii="Verdana" w:hAnsi="Verdana"/>
        <w:sz w:val="18"/>
      </w:rPr>
      <w:t>MEM-TP</w:t>
    </w:r>
  </w:p>
  <w:p w:rsidR="000F52F9" w:rsidRPr="007F29F4" w:rsidRDefault="000F52F9" w:rsidP="007F29F4">
    <w:pPr>
      <w:jc w:val="right"/>
      <w:rPr>
        <w:rFonts w:ascii="Verdana" w:hAnsi="Verdana"/>
        <w:lang w:val="en-GB"/>
      </w:rPr>
    </w:pPr>
    <w:r w:rsidRPr="007F29F4">
      <w:rPr>
        <w:rStyle w:val="HeaderChar1"/>
        <w:rFonts w:ascii="Verdana" w:hAnsi="Verdana"/>
        <w:sz w:val="22"/>
      </w:rPr>
      <w:tab/>
    </w:r>
    <w:r w:rsidRPr="007F29F4">
      <w:rPr>
        <w:rStyle w:val="HeaderChar1"/>
        <w:rFonts w:ascii="Verdana" w:hAnsi="Verdana"/>
        <w:sz w:val="22"/>
      </w:rPr>
      <w:tab/>
    </w:r>
    <w:r w:rsidRPr="007F29F4">
      <w:rPr>
        <w:rStyle w:val="HeaderChar1"/>
        <w:rFonts w:ascii="Verdana" w:hAnsi="Verdana"/>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Pr="007F29F4" w:rsidRDefault="000F52F9" w:rsidP="007F29F4">
    <w:pPr>
      <w:pBdr>
        <w:bottom w:val="single" w:sz="4" w:space="1" w:color="auto"/>
      </w:pBdr>
      <w:jc w:val="right"/>
      <w:rPr>
        <w:rStyle w:val="HeaderChar1"/>
        <w:rFonts w:ascii="Verdana" w:hAnsi="Verdana"/>
        <w:sz w:val="18"/>
      </w:rPr>
    </w:pPr>
    <w:r w:rsidRPr="007F29F4">
      <w:rPr>
        <w:rStyle w:val="HeaderChar1"/>
        <w:rFonts w:ascii="Verdana" w:hAnsi="Verdana"/>
        <w:sz w:val="22"/>
      </w:rPr>
      <w:tab/>
    </w:r>
    <w:r w:rsidRPr="007F29F4">
      <w:rPr>
        <w:rStyle w:val="HeaderChar1"/>
        <w:rFonts w:ascii="Verdana" w:hAnsi="Verdana"/>
        <w:sz w:val="16"/>
        <w:szCs w:val="16"/>
      </w:rPr>
      <w:tab/>
    </w:r>
    <w:r w:rsidRPr="007F29F4">
      <w:rPr>
        <w:rStyle w:val="HeaderChar1"/>
        <w:rFonts w:ascii="Verdana" w:hAnsi="Verdana"/>
        <w:sz w:val="18"/>
      </w:rPr>
      <w:t>MEM-TP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F9" w:rsidRDefault="000F52F9" w:rsidP="00CC71B9">
    <w:pPr>
      <w:pStyle w:val="Header"/>
    </w:pPr>
  </w:p>
  <w:p w:rsidR="000F52F9" w:rsidRDefault="000F52F9">
    <w:pPr>
      <w:pStyle w:val="Header"/>
    </w:pPr>
  </w:p>
  <w:p w:rsidR="000F52F9" w:rsidRDefault="000F52F9">
    <w:pPr>
      <w:pStyle w:val="Header"/>
    </w:pPr>
  </w:p>
  <w:p w:rsidR="000F52F9" w:rsidRDefault="000F52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6A5C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A49CD"/>
    <w:multiLevelType w:val="hybridMultilevel"/>
    <w:tmpl w:val="D6FAC1CE"/>
    <w:lvl w:ilvl="0" w:tplc="AF0E20E2">
      <w:start w:val="1"/>
      <w:numFmt w:val="bullet"/>
      <w:lvlText w:val="•"/>
      <w:lvlJc w:val="left"/>
      <w:pPr>
        <w:tabs>
          <w:tab w:val="num" w:pos="720"/>
        </w:tabs>
        <w:ind w:left="720" w:hanging="360"/>
      </w:pPr>
      <w:rPr>
        <w:rFonts w:ascii="Arial" w:hAnsi="Arial" w:hint="default"/>
      </w:rPr>
    </w:lvl>
    <w:lvl w:ilvl="1" w:tplc="F8486C2E">
      <w:numFmt w:val="none"/>
      <w:lvlText w:val=""/>
      <w:lvlJc w:val="left"/>
      <w:pPr>
        <w:tabs>
          <w:tab w:val="num" w:pos="360"/>
        </w:tabs>
      </w:pPr>
      <w:rPr>
        <w:rFonts w:cs="Times New Roman"/>
      </w:rPr>
    </w:lvl>
    <w:lvl w:ilvl="2" w:tplc="88D00100" w:tentative="1">
      <w:start w:val="1"/>
      <w:numFmt w:val="bullet"/>
      <w:lvlText w:val="•"/>
      <w:lvlJc w:val="left"/>
      <w:pPr>
        <w:tabs>
          <w:tab w:val="num" w:pos="2160"/>
        </w:tabs>
        <w:ind w:left="2160" w:hanging="360"/>
      </w:pPr>
      <w:rPr>
        <w:rFonts w:ascii="Arial" w:hAnsi="Arial" w:hint="default"/>
      </w:rPr>
    </w:lvl>
    <w:lvl w:ilvl="3" w:tplc="DFA8C928" w:tentative="1">
      <w:start w:val="1"/>
      <w:numFmt w:val="bullet"/>
      <w:lvlText w:val="•"/>
      <w:lvlJc w:val="left"/>
      <w:pPr>
        <w:tabs>
          <w:tab w:val="num" w:pos="2880"/>
        </w:tabs>
        <w:ind w:left="2880" w:hanging="360"/>
      </w:pPr>
      <w:rPr>
        <w:rFonts w:ascii="Arial" w:hAnsi="Arial" w:hint="default"/>
      </w:rPr>
    </w:lvl>
    <w:lvl w:ilvl="4" w:tplc="8E90B73A" w:tentative="1">
      <w:start w:val="1"/>
      <w:numFmt w:val="bullet"/>
      <w:lvlText w:val="•"/>
      <w:lvlJc w:val="left"/>
      <w:pPr>
        <w:tabs>
          <w:tab w:val="num" w:pos="3600"/>
        </w:tabs>
        <w:ind w:left="3600" w:hanging="360"/>
      </w:pPr>
      <w:rPr>
        <w:rFonts w:ascii="Arial" w:hAnsi="Arial" w:hint="default"/>
      </w:rPr>
    </w:lvl>
    <w:lvl w:ilvl="5" w:tplc="DE0C1706" w:tentative="1">
      <w:start w:val="1"/>
      <w:numFmt w:val="bullet"/>
      <w:lvlText w:val="•"/>
      <w:lvlJc w:val="left"/>
      <w:pPr>
        <w:tabs>
          <w:tab w:val="num" w:pos="4320"/>
        </w:tabs>
        <w:ind w:left="4320" w:hanging="360"/>
      </w:pPr>
      <w:rPr>
        <w:rFonts w:ascii="Arial" w:hAnsi="Arial" w:hint="default"/>
      </w:rPr>
    </w:lvl>
    <w:lvl w:ilvl="6" w:tplc="B058D61A" w:tentative="1">
      <w:start w:val="1"/>
      <w:numFmt w:val="bullet"/>
      <w:lvlText w:val="•"/>
      <w:lvlJc w:val="left"/>
      <w:pPr>
        <w:tabs>
          <w:tab w:val="num" w:pos="5040"/>
        </w:tabs>
        <w:ind w:left="5040" w:hanging="360"/>
      </w:pPr>
      <w:rPr>
        <w:rFonts w:ascii="Arial" w:hAnsi="Arial" w:hint="default"/>
      </w:rPr>
    </w:lvl>
    <w:lvl w:ilvl="7" w:tplc="5172D974" w:tentative="1">
      <w:start w:val="1"/>
      <w:numFmt w:val="bullet"/>
      <w:lvlText w:val="•"/>
      <w:lvlJc w:val="left"/>
      <w:pPr>
        <w:tabs>
          <w:tab w:val="num" w:pos="5760"/>
        </w:tabs>
        <w:ind w:left="5760" w:hanging="360"/>
      </w:pPr>
      <w:rPr>
        <w:rFonts w:ascii="Arial" w:hAnsi="Arial" w:hint="default"/>
      </w:rPr>
    </w:lvl>
    <w:lvl w:ilvl="8" w:tplc="CED2ED9A" w:tentative="1">
      <w:start w:val="1"/>
      <w:numFmt w:val="bullet"/>
      <w:lvlText w:val="•"/>
      <w:lvlJc w:val="left"/>
      <w:pPr>
        <w:tabs>
          <w:tab w:val="num" w:pos="6480"/>
        </w:tabs>
        <w:ind w:left="6480" w:hanging="360"/>
      </w:pPr>
      <w:rPr>
        <w:rFonts w:ascii="Arial" w:hAnsi="Arial" w:hint="default"/>
      </w:rPr>
    </w:lvl>
  </w:abstractNum>
  <w:abstractNum w:abstractNumId="2">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6E5861"/>
    <w:multiLevelType w:val="hybridMultilevel"/>
    <w:tmpl w:val="20884570"/>
    <w:lvl w:ilvl="0" w:tplc="D3F64200">
      <w:start w:val="1"/>
      <w:numFmt w:val="bullet"/>
      <w:lvlText w:val="•"/>
      <w:lvlJc w:val="left"/>
      <w:pPr>
        <w:ind w:left="360" w:hanging="360"/>
      </w:pPr>
      <w:rPr>
        <w:rFonts w:ascii="Arial" w:hAnsi="Arial" w:hint="default"/>
        <w:b/>
        <w:i w:val="0"/>
        <w:color w:val="auto"/>
        <w:sz w:val="24"/>
      </w:rPr>
    </w:lvl>
    <w:lvl w:ilvl="1" w:tplc="E35E4E0A">
      <w:start w:val="1"/>
      <w:numFmt w:val="bullet"/>
      <w:lvlText w:val=""/>
      <w:lvlJc w:val="left"/>
      <w:pPr>
        <w:tabs>
          <w:tab w:val="num" w:pos="1512"/>
        </w:tabs>
        <w:ind w:left="1512" w:hanging="432"/>
      </w:pPr>
      <w:rPr>
        <w:rFonts w:ascii="Symbol" w:hAnsi="Symbol"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0144A1"/>
    <w:multiLevelType w:val="hybridMultilevel"/>
    <w:tmpl w:val="E292860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6">
    <w:nsid w:val="103328BE"/>
    <w:multiLevelType w:val="hybridMultilevel"/>
    <w:tmpl w:val="9A426F58"/>
    <w:lvl w:ilvl="0" w:tplc="3E584AFC">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7">
    <w:nsid w:val="10ED0200"/>
    <w:multiLevelType w:val="hybridMultilevel"/>
    <w:tmpl w:val="8FE26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204602F"/>
    <w:multiLevelType w:val="hybridMultilevel"/>
    <w:tmpl w:val="641AD7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8AD48D5"/>
    <w:multiLevelType w:val="multilevel"/>
    <w:tmpl w:val="C046AFA0"/>
    <w:lvl w:ilvl="0">
      <w:start w:val="1"/>
      <w:numFmt w:val="bullet"/>
      <w:lvlText w:val="•"/>
      <w:lvlJc w:val="left"/>
      <w:pPr>
        <w:tabs>
          <w:tab w:val="num" w:pos="720"/>
        </w:tabs>
        <w:ind w:left="720" w:hanging="360"/>
      </w:pPr>
      <w:rPr>
        <w:rFonts w:ascii="Arial" w:hAnsi="Arial" w:hint="default"/>
      </w:rPr>
    </w:lvl>
    <w:lvl w:ilvl="1">
      <w:start w:val="174"/>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nsid w:val="1D93470D"/>
    <w:multiLevelType w:val="hybridMultilevel"/>
    <w:tmpl w:val="EDA8F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4772B81"/>
    <w:multiLevelType w:val="hybridMultilevel"/>
    <w:tmpl w:val="82D248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709458F"/>
    <w:multiLevelType w:val="hybridMultilevel"/>
    <w:tmpl w:val="6B924086"/>
    <w:lvl w:ilvl="0" w:tplc="D3F64200">
      <w:start w:val="1"/>
      <w:numFmt w:val="bullet"/>
      <w:lvlText w:val="•"/>
      <w:lvlJc w:val="left"/>
      <w:pPr>
        <w:ind w:left="360" w:hanging="360"/>
      </w:pPr>
      <w:rPr>
        <w:rFonts w:ascii="Arial" w:hAnsi="Arial" w:hint="default"/>
        <w:b/>
        <w:i w:val="0"/>
        <w:color w:val="auto"/>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4">
    <w:nsid w:val="2FAF7B92"/>
    <w:multiLevelType w:val="hybridMultilevel"/>
    <w:tmpl w:val="B2A857F6"/>
    <w:lvl w:ilvl="0" w:tplc="2E9CA1D8">
      <w:start w:val="1"/>
      <w:numFmt w:val="bullet"/>
      <w:lvlText w:val="•"/>
      <w:lvlJc w:val="left"/>
      <w:pPr>
        <w:ind w:left="360" w:hanging="360"/>
      </w:pPr>
      <w:rPr>
        <w:rFonts w:ascii="Arial" w:hAnsi="Aria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5">
    <w:nsid w:val="3433445D"/>
    <w:multiLevelType w:val="multilevel"/>
    <w:tmpl w:val="463609AC"/>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6">
    <w:nsid w:val="36D540F7"/>
    <w:multiLevelType w:val="hybridMultilevel"/>
    <w:tmpl w:val="E51AB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7D4763B"/>
    <w:multiLevelType w:val="hybridMultilevel"/>
    <w:tmpl w:val="12D24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A81648"/>
    <w:multiLevelType w:val="hybridMultilevel"/>
    <w:tmpl w:val="0E5653B6"/>
    <w:lvl w:ilvl="0" w:tplc="058E7662">
      <w:start w:val="1"/>
      <w:numFmt w:val="bullet"/>
      <w:lvlText w:val="•"/>
      <w:lvlJc w:val="left"/>
      <w:pPr>
        <w:tabs>
          <w:tab w:val="num" w:pos="720"/>
        </w:tabs>
        <w:ind w:left="720" w:hanging="360"/>
      </w:pPr>
      <w:rPr>
        <w:rFonts w:ascii="Arial" w:hAnsi="Arial" w:hint="default"/>
      </w:rPr>
    </w:lvl>
    <w:lvl w:ilvl="1" w:tplc="2C8EBAA8" w:tentative="1">
      <w:start w:val="1"/>
      <w:numFmt w:val="bullet"/>
      <w:lvlText w:val="•"/>
      <w:lvlJc w:val="left"/>
      <w:pPr>
        <w:tabs>
          <w:tab w:val="num" w:pos="1440"/>
        </w:tabs>
        <w:ind w:left="1440" w:hanging="360"/>
      </w:pPr>
      <w:rPr>
        <w:rFonts w:ascii="Arial" w:hAnsi="Arial" w:hint="default"/>
      </w:rPr>
    </w:lvl>
    <w:lvl w:ilvl="2" w:tplc="4DF8A4F0" w:tentative="1">
      <w:start w:val="1"/>
      <w:numFmt w:val="bullet"/>
      <w:lvlText w:val="•"/>
      <w:lvlJc w:val="left"/>
      <w:pPr>
        <w:tabs>
          <w:tab w:val="num" w:pos="2160"/>
        </w:tabs>
        <w:ind w:left="2160" w:hanging="360"/>
      </w:pPr>
      <w:rPr>
        <w:rFonts w:ascii="Arial" w:hAnsi="Arial" w:hint="default"/>
      </w:rPr>
    </w:lvl>
    <w:lvl w:ilvl="3" w:tplc="0D54C8F2" w:tentative="1">
      <w:start w:val="1"/>
      <w:numFmt w:val="bullet"/>
      <w:lvlText w:val="•"/>
      <w:lvlJc w:val="left"/>
      <w:pPr>
        <w:tabs>
          <w:tab w:val="num" w:pos="2880"/>
        </w:tabs>
        <w:ind w:left="2880" w:hanging="360"/>
      </w:pPr>
      <w:rPr>
        <w:rFonts w:ascii="Arial" w:hAnsi="Arial" w:hint="default"/>
      </w:rPr>
    </w:lvl>
    <w:lvl w:ilvl="4" w:tplc="773A874E" w:tentative="1">
      <w:start w:val="1"/>
      <w:numFmt w:val="bullet"/>
      <w:lvlText w:val="•"/>
      <w:lvlJc w:val="left"/>
      <w:pPr>
        <w:tabs>
          <w:tab w:val="num" w:pos="3600"/>
        </w:tabs>
        <w:ind w:left="3600" w:hanging="360"/>
      </w:pPr>
      <w:rPr>
        <w:rFonts w:ascii="Arial" w:hAnsi="Arial" w:hint="default"/>
      </w:rPr>
    </w:lvl>
    <w:lvl w:ilvl="5" w:tplc="2D6CD1D2" w:tentative="1">
      <w:start w:val="1"/>
      <w:numFmt w:val="bullet"/>
      <w:lvlText w:val="•"/>
      <w:lvlJc w:val="left"/>
      <w:pPr>
        <w:tabs>
          <w:tab w:val="num" w:pos="4320"/>
        </w:tabs>
        <w:ind w:left="4320" w:hanging="360"/>
      </w:pPr>
      <w:rPr>
        <w:rFonts w:ascii="Arial" w:hAnsi="Arial" w:hint="default"/>
      </w:rPr>
    </w:lvl>
    <w:lvl w:ilvl="6" w:tplc="16B476DE" w:tentative="1">
      <w:start w:val="1"/>
      <w:numFmt w:val="bullet"/>
      <w:lvlText w:val="•"/>
      <w:lvlJc w:val="left"/>
      <w:pPr>
        <w:tabs>
          <w:tab w:val="num" w:pos="5040"/>
        </w:tabs>
        <w:ind w:left="5040" w:hanging="360"/>
      </w:pPr>
      <w:rPr>
        <w:rFonts w:ascii="Arial" w:hAnsi="Arial" w:hint="default"/>
      </w:rPr>
    </w:lvl>
    <w:lvl w:ilvl="7" w:tplc="B6E2A13A" w:tentative="1">
      <w:start w:val="1"/>
      <w:numFmt w:val="bullet"/>
      <w:lvlText w:val="•"/>
      <w:lvlJc w:val="left"/>
      <w:pPr>
        <w:tabs>
          <w:tab w:val="num" w:pos="5760"/>
        </w:tabs>
        <w:ind w:left="5760" w:hanging="360"/>
      </w:pPr>
      <w:rPr>
        <w:rFonts w:ascii="Arial" w:hAnsi="Arial" w:hint="default"/>
      </w:rPr>
    </w:lvl>
    <w:lvl w:ilvl="8" w:tplc="9B9C588E" w:tentative="1">
      <w:start w:val="1"/>
      <w:numFmt w:val="bullet"/>
      <w:lvlText w:val="•"/>
      <w:lvlJc w:val="left"/>
      <w:pPr>
        <w:tabs>
          <w:tab w:val="num" w:pos="6480"/>
        </w:tabs>
        <w:ind w:left="6480" w:hanging="360"/>
      </w:pPr>
      <w:rPr>
        <w:rFonts w:ascii="Arial" w:hAnsi="Arial" w:hint="default"/>
      </w:rPr>
    </w:lvl>
  </w:abstractNum>
  <w:abstractNum w:abstractNumId="19">
    <w:nsid w:val="3DFD5872"/>
    <w:multiLevelType w:val="hybridMultilevel"/>
    <w:tmpl w:val="9322F49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nsid w:val="3E8817D1"/>
    <w:multiLevelType w:val="hybridMultilevel"/>
    <w:tmpl w:val="C046AFA0"/>
    <w:lvl w:ilvl="0" w:tplc="3E584AFC">
      <w:start w:val="1"/>
      <w:numFmt w:val="bullet"/>
      <w:lvlText w:val="•"/>
      <w:lvlJc w:val="left"/>
      <w:pPr>
        <w:tabs>
          <w:tab w:val="num" w:pos="720"/>
        </w:tabs>
        <w:ind w:left="720" w:hanging="360"/>
      </w:pPr>
      <w:rPr>
        <w:rFonts w:ascii="Arial" w:hAnsi="Arial" w:hint="default"/>
      </w:rPr>
    </w:lvl>
    <w:lvl w:ilvl="1" w:tplc="201E77F0">
      <w:start w:val="174"/>
      <w:numFmt w:val="bullet"/>
      <w:lvlText w:val=""/>
      <w:lvlJc w:val="left"/>
      <w:pPr>
        <w:tabs>
          <w:tab w:val="num" w:pos="1440"/>
        </w:tabs>
        <w:ind w:left="1440" w:hanging="360"/>
      </w:pPr>
      <w:rPr>
        <w:rFonts w:ascii="Wingdings" w:hAnsi="Wingdings"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21">
    <w:nsid w:val="3F672172"/>
    <w:multiLevelType w:val="hybridMultilevel"/>
    <w:tmpl w:val="A83A51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28069CE"/>
    <w:multiLevelType w:val="multilevel"/>
    <w:tmpl w:val="00065BE2"/>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5493337"/>
    <w:multiLevelType w:val="hybridMultilevel"/>
    <w:tmpl w:val="00065BE2"/>
    <w:lvl w:ilvl="0" w:tplc="0C0A0001">
      <w:start w:val="1"/>
      <w:numFmt w:val="bullet"/>
      <w:lvlText w:val=""/>
      <w:lvlJc w:val="left"/>
      <w:pPr>
        <w:ind w:left="360" w:hanging="360"/>
      </w:pPr>
      <w:rPr>
        <w:rFonts w:ascii="Symbol" w:hAnsi="Symbol"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24">
    <w:nsid w:val="45F51493"/>
    <w:multiLevelType w:val="hybridMultilevel"/>
    <w:tmpl w:val="F01048E8"/>
    <w:lvl w:ilvl="0" w:tplc="57DC25EE">
      <w:start w:val="1"/>
      <w:numFmt w:val="bullet"/>
      <w:lvlText w:val="•"/>
      <w:lvlJc w:val="left"/>
      <w:pPr>
        <w:tabs>
          <w:tab w:val="num" w:pos="720"/>
        </w:tabs>
        <w:ind w:left="720" w:hanging="360"/>
      </w:pPr>
      <w:rPr>
        <w:rFonts w:ascii="Arial" w:hAnsi="Arial" w:hint="default"/>
      </w:rPr>
    </w:lvl>
    <w:lvl w:ilvl="1" w:tplc="7E6ED384" w:tentative="1">
      <w:start w:val="1"/>
      <w:numFmt w:val="bullet"/>
      <w:lvlText w:val="•"/>
      <w:lvlJc w:val="left"/>
      <w:pPr>
        <w:tabs>
          <w:tab w:val="num" w:pos="1440"/>
        </w:tabs>
        <w:ind w:left="1440" w:hanging="360"/>
      </w:pPr>
      <w:rPr>
        <w:rFonts w:ascii="Arial" w:hAnsi="Arial" w:hint="default"/>
      </w:rPr>
    </w:lvl>
    <w:lvl w:ilvl="2" w:tplc="11902148" w:tentative="1">
      <w:start w:val="1"/>
      <w:numFmt w:val="bullet"/>
      <w:lvlText w:val="•"/>
      <w:lvlJc w:val="left"/>
      <w:pPr>
        <w:tabs>
          <w:tab w:val="num" w:pos="2160"/>
        </w:tabs>
        <w:ind w:left="2160" w:hanging="360"/>
      </w:pPr>
      <w:rPr>
        <w:rFonts w:ascii="Arial" w:hAnsi="Arial" w:hint="default"/>
      </w:rPr>
    </w:lvl>
    <w:lvl w:ilvl="3" w:tplc="15F606CC" w:tentative="1">
      <w:start w:val="1"/>
      <w:numFmt w:val="bullet"/>
      <w:lvlText w:val="•"/>
      <w:lvlJc w:val="left"/>
      <w:pPr>
        <w:tabs>
          <w:tab w:val="num" w:pos="2880"/>
        </w:tabs>
        <w:ind w:left="2880" w:hanging="360"/>
      </w:pPr>
      <w:rPr>
        <w:rFonts w:ascii="Arial" w:hAnsi="Arial" w:hint="default"/>
      </w:rPr>
    </w:lvl>
    <w:lvl w:ilvl="4" w:tplc="3C4CA8A6" w:tentative="1">
      <w:start w:val="1"/>
      <w:numFmt w:val="bullet"/>
      <w:lvlText w:val="•"/>
      <w:lvlJc w:val="left"/>
      <w:pPr>
        <w:tabs>
          <w:tab w:val="num" w:pos="3600"/>
        </w:tabs>
        <w:ind w:left="3600" w:hanging="360"/>
      </w:pPr>
      <w:rPr>
        <w:rFonts w:ascii="Arial" w:hAnsi="Arial" w:hint="default"/>
      </w:rPr>
    </w:lvl>
    <w:lvl w:ilvl="5" w:tplc="5456F926" w:tentative="1">
      <w:start w:val="1"/>
      <w:numFmt w:val="bullet"/>
      <w:lvlText w:val="•"/>
      <w:lvlJc w:val="left"/>
      <w:pPr>
        <w:tabs>
          <w:tab w:val="num" w:pos="4320"/>
        </w:tabs>
        <w:ind w:left="4320" w:hanging="360"/>
      </w:pPr>
      <w:rPr>
        <w:rFonts w:ascii="Arial" w:hAnsi="Arial" w:hint="default"/>
      </w:rPr>
    </w:lvl>
    <w:lvl w:ilvl="6" w:tplc="BCF21EBA" w:tentative="1">
      <w:start w:val="1"/>
      <w:numFmt w:val="bullet"/>
      <w:lvlText w:val="•"/>
      <w:lvlJc w:val="left"/>
      <w:pPr>
        <w:tabs>
          <w:tab w:val="num" w:pos="5040"/>
        </w:tabs>
        <w:ind w:left="5040" w:hanging="360"/>
      </w:pPr>
      <w:rPr>
        <w:rFonts w:ascii="Arial" w:hAnsi="Arial" w:hint="default"/>
      </w:rPr>
    </w:lvl>
    <w:lvl w:ilvl="7" w:tplc="45181BFE" w:tentative="1">
      <w:start w:val="1"/>
      <w:numFmt w:val="bullet"/>
      <w:lvlText w:val="•"/>
      <w:lvlJc w:val="left"/>
      <w:pPr>
        <w:tabs>
          <w:tab w:val="num" w:pos="5760"/>
        </w:tabs>
        <w:ind w:left="5760" w:hanging="360"/>
      </w:pPr>
      <w:rPr>
        <w:rFonts w:ascii="Arial" w:hAnsi="Arial" w:hint="default"/>
      </w:rPr>
    </w:lvl>
    <w:lvl w:ilvl="8" w:tplc="3A38CC84" w:tentative="1">
      <w:start w:val="1"/>
      <w:numFmt w:val="bullet"/>
      <w:lvlText w:val="•"/>
      <w:lvlJc w:val="left"/>
      <w:pPr>
        <w:tabs>
          <w:tab w:val="num" w:pos="6480"/>
        </w:tabs>
        <w:ind w:left="6480" w:hanging="360"/>
      </w:pPr>
      <w:rPr>
        <w:rFonts w:ascii="Arial" w:hAnsi="Arial" w:hint="default"/>
      </w:rPr>
    </w:lvl>
  </w:abstractNum>
  <w:abstractNum w:abstractNumId="25">
    <w:nsid w:val="47362087"/>
    <w:multiLevelType w:val="multilevel"/>
    <w:tmpl w:val="C046AFA0"/>
    <w:lvl w:ilvl="0">
      <w:start w:val="1"/>
      <w:numFmt w:val="bullet"/>
      <w:lvlText w:val="•"/>
      <w:lvlJc w:val="left"/>
      <w:pPr>
        <w:tabs>
          <w:tab w:val="num" w:pos="720"/>
        </w:tabs>
        <w:ind w:left="720" w:hanging="360"/>
      </w:pPr>
      <w:rPr>
        <w:rFonts w:ascii="Arial" w:hAnsi="Arial" w:hint="default"/>
      </w:rPr>
    </w:lvl>
    <w:lvl w:ilvl="1">
      <w:start w:val="174"/>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6">
    <w:nsid w:val="49230A44"/>
    <w:multiLevelType w:val="hybridMultilevel"/>
    <w:tmpl w:val="2A7C6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C9C4EA7"/>
    <w:multiLevelType w:val="multilevel"/>
    <w:tmpl w:val="567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CE7859"/>
    <w:multiLevelType w:val="hybridMultilevel"/>
    <w:tmpl w:val="8EE8DA14"/>
    <w:lvl w:ilvl="0" w:tplc="3E584AFC">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29">
    <w:nsid w:val="523C17CD"/>
    <w:multiLevelType w:val="hybridMultilevel"/>
    <w:tmpl w:val="7B8053AE"/>
    <w:lvl w:ilvl="0" w:tplc="07C4356A">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30">
    <w:nsid w:val="545754E8"/>
    <w:multiLevelType w:val="hybridMultilevel"/>
    <w:tmpl w:val="E242B9FE"/>
    <w:lvl w:ilvl="0" w:tplc="C950BA88">
      <w:start w:val="1"/>
      <w:numFmt w:val="bullet"/>
      <w:lvlText w:val="•"/>
      <w:lvlJc w:val="left"/>
      <w:pPr>
        <w:tabs>
          <w:tab w:val="num" w:pos="720"/>
        </w:tabs>
        <w:ind w:left="720" w:hanging="360"/>
      </w:pPr>
      <w:rPr>
        <w:rFonts w:ascii="Arial" w:hAnsi="Arial" w:hint="default"/>
      </w:rPr>
    </w:lvl>
    <w:lvl w:ilvl="1" w:tplc="81CCD0C6">
      <w:numFmt w:val="none"/>
      <w:lvlText w:val=""/>
      <w:lvlJc w:val="left"/>
      <w:pPr>
        <w:tabs>
          <w:tab w:val="num" w:pos="360"/>
        </w:tabs>
      </w:pPr>
      <w:rPr>
        <w:rFonts w:cs="Times New Roman"/>
      </w:rPr>
    </w:lvl>
    <w:lvl w:ilvl="2" w:tplc="B7D28AAA" w:tentative="1">
      <w:start w:val="1"/>
      <w:numFmt w:val="bullet"/>
      <w:lvlText w:val="•"/>
      <w:lvlJc w:val="left"/>
      <w:pPr>
        <w:tabs>
          <w:tab w:val="num" w:pos="2160"/>
        </w:tabs>
        <w:ind w:left="2160" w:hanging="360"/>
      </w:pPr>
      <w:rPr>
        <w:rFonts w:ascii="Arial" w:hAnsi="Arial" w:hint="default"/>
      </w:rPr>
    </w:lvl>
    <w:lvl w:ilvl="3" w:tplc="008AFCC8" w:tentative="1">
      <w:start w:val="1"/>
      <w:numFmt w:val="bullet"/>
      <w:lvlText w:val="•"/>
      <w:lvlJc w:val="left"/>
      <w:pPr>
        <w:tabs>
          <w:tab w:val="num" w:pos="2880"/>
        </w:tabs>
        <w:ind w:left="2880" w:hanging="360"/>
      </w:pPr>
      <w:rPr>
        <w:rFonts w:ascii="Arial" w:hAnsi="Arial" w:hint="default"/>
      </w:rPr>
    </w:lvl>
    <w:lvl w:ilvl="4" w:tplc="2CF40350" w:tentative="1">
      <w:start w:val="1"/>
      <w:numFmt w:val="bullet"/>
      <w:lvlText w:val="•"/>
      <w:lvlJc w:val="left"/>
      <w:pPr>
        <w:tabs>
          <w:tab w:val="num" w:pos="3600"/>
        </w:tabs>
        <w:ind w:left="3600" w:hanging="360"/>
      </w:pPr>
      <w:rPr>
        <w:rFonts w:ascii="Arial" w:hAnsi="Arial" w:hint="default"/>
      </w:rPr>
    </w:lvl>
    <w:lvl w:ilvl="5" w:tplc="647EC592" w:tentative="1">
      <w:start w:val="1"/>
      <w:numFmt w:val="bullet"/>
      <w:lvlText w:val="•"/>
      <w:lvlJc w:val="left"/>
      <w:pPr>
        <w:tabs>
          <w:tab w:val="num" w:pos="4320"/>
        </w:tabs>
        <w:ind w:left="4320" w:hanging="360"/>
      </w:pPr>
      <w:rPr>
        <w:rFonts w:ascii="Arial" w:hAnsi="Arial" w:hint="default"/>
      </w:rPr>
    </w:lvl>
    <w:lvl w:ilvl="6" w:tplc="FDBCD7C8" w:tentative="1">
      <w:start w:val="1"/>
      <w:numFmt w:val="bullet"/>
      <w:lvlText w:val="•"/>
      <w:lvlJc w:val="left"/>
      <w:pPr>
        <w:tabs>
          <w:tab w:val="num" w:pos="5040"/>
        </w:tabs>
        <w:ind w:left="5040" w:hanging="360"/>
      </w:pPr>
      <w:rPr>
        <w:rFonts w:ascii="Arial" w:hAnsi="Arial" w:hint="default"/>
      </w:rPr>
    </w:lvl>
    <w:lvl w:ilvl="7" w:tplc="C76030E6" w:tentative="1">
      <w:start w:val="1"/>
      <w:numFmt w:val="bullet"/>
      <w:lvlText w:val="•"/>
      <w:lvlJc w:val="left"/>
      <w:pPr>
        <w:tabs>
          <w:tab w:val="num" w:pos="5760"/>
        </w:tabs>
        <w:ind w:left="5760" w:hanging="360"/>
      </w:pPr>
      <w:rPr>
        <w:rFonts w:ascii="Arial" w:hAnsi="Arial" w:hint="default"/>
      </w:rPr>
    </w:lvl>
    <w:lvl w:ilvl="8" w:tplc="725A4794" w:tentative="1">
      <w:start w:val="1"/>
      <w:numFmt w:val="bullet"/>
      <w:lvlText w:val="•"/>
      <w:lvlJc w:val="left"/>
      <w:pPr>
        <w:tabs>
          <w:tab w:val="num" w:pos="6480"/>
        </w:tabs>
        <w:ind w:left="6480" w:hanging="360"/>
      </w:pPr>
      <w:rPr>
        <w:rFonts w:ascii="Arial" w:hAnsi="Arial" w:hint="default"/>
      </w:rPr>
    </w:lvl>
  </w:abstractNum>
  <w:abstractNum w:abstractNumId="31">
    <w:nsid w:val="560E17E2"/>
    <w:multiLevelType w:val="hybridMultilevel"/>
    <w:tmpl w:val="6D00FC0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576207E7"/>
    <w:multiLevelType w:val="hybridMultilevel"/>
    <w:tmpl w:val="A7DAEE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5D484BB1"/>
    <w:multiLevelType w:val="hybridMultilevel"/>
    <w:tmpl w:val="397A69C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nsid w:val="5E982E40"/>
    <w:multiLevelType w:val="hybridMultilevel"/>
    <w:tmpl w:val="0374C1C2"/>
    <w:lvl w:ilvl="0" w:tplc="D442624A">
      <w:start w:val="1"/>
      <w:numFmt w:val="bullet"/>
      <w:lvlText w:val=""/>
      <w:lvlJc w:val="left"/>
      <w:pPr>
        <w:tabs>
          <w:tab w:val="num" w:pos="720"/>
        </w:tabs>
        <w:ind w:left="720" w:hanging="360"/>
      </w:pPr>
      <w:rPr>
        <w:rFonts w:ascii="Wingdings" w:hAnsi="Wingdings" w:hint="default"/>
      </w:rPr>
    </w:lvl>
    <w:lvl w:ilvl="1" w:tplc="0CC67F0E">
      <w:start w:val="1"/>
      <w:numFmt w:val="bullet"/>
      <w:lvlText w:val=""/>
      <w:lvlJc w:val="left"/>
      <w:pPr>
        <w:tabs>
          <w:tab w:val="num" w:pos="1440"/>
        </w:tabs>
        <w:ind w:left="1440" w:hanging="360"/>
      </w:pPr>
      <w:rPr>
        <w:rFonts w:ascii="Wingdings" w:hAnsi="Wingdings" w:hint="default"/>
      </w:rPr>
    </w:lvl>
    <w:lvl w:ilvl="2" w:tplc="B622C2C8" w:tentative="1">
      <w:start w:val="1"/>
      <w:numFmt w:val="bullet"/>
      <w:lvlText w:val=""/>
      <w:lvlJc w:val="left"/>
      <w:pPr>
        <w:tabs>
          <w:tab w:val="num" w:pos="2160"/>
        </w:tabs>
        <w:ind w:left="2160" w:hanging="360"/>
      </w:pPr>
      <w:rPr>
        <w:rFonts w:ascii="Wingdings" w:hAnsi="Wingdings" w:hint="default"/>
      </w:rPr>
    </w:lvl>
    <w:lvl w:ilvl="3" w:tplc="E73EC85E" w:tentative="1">
      <w:start w:val="1"/>
      <w:numFmt w:val="bullet"/>
      <w:lvlText w:val=""/>
      <w:lvlJc w:val="left"/>
      <w:pPr>
        <w:tabs>
          <w:tab w:val="num" w:pos="2880"/>
        </w:tabs>
        <w:ind w:left="2880" w:hanging="360"/>
      </w:pPr>
      <w:rPr>
        <w:rFonts w:ascii="Wingdings" w:hAnsi="Wingdings" w:hint="default"/>
      </w:rPr>
    </w:lvl>
    <w:lvl w:ilvl="4" w:tplc="389ADE46" w:tentative="1">
      <w:start w:val="1"/>
      <w:numFmt w:val="bullet"/>
      <w:lvlText w:val=""/>
      <w:lvlJc w:val="left"/>
      <w:pPr>
        <w:tabs>
          <w:tab w:val="num" w:pos="3600"/>
        </w:tabs>
        <w:ind w:left="3600" w:hanging="360"/>
      </w:pPr>
      <w:rPr>
        <w:rFonts w:ascii="Wingdings" w:hAnsi="Wingdings" w:hint="default"/>
      </w:rPr>
    </w:lvl>
    <w:lvl w:ilvl="5" w:tplc="A8289E26" w:tentative="1">
      <w:start w:val="1"/>
      <w:numFmt w:val="bullet"/>
      <w:lvlText w:val=""/>
      <w:lvlJc w:val="left"/>
      <w:pPr>
        <w:tabs>
          <w:tab w:val="num" w:pos="4320"/>
        </w:tabs>
        <w:ind w:left="4320" w:hanging="360"/>
      </w:pPr>
      <w:rPr>
        <w:rFonts w:ascii="Wingdings" w:hAnsi="Wingdings" w:hint="default"/>
      </w:rPr>
    </w:lvl>
    <w:lvl w:ilvl="6" w:tplc="ADFE853C" w:tentative="1">
      <w:start w:val="1"/>
      <w:numFmt w:val="bullet"/>
      <w:lvlText w:val=""/>
      <w:lvlJc w:val="left"/>
      <w:pPr>
        <w:tabs>
          <w:tab w:val="num" w:pos="5040"/>
        </w:tabs>
        <w:ind w:left="5040" w:hanging="360"/>
      </w:pPr>
      <w:rPr>
        <w:rFonts w:ascii="Wingdings" w:hAnsi="Wingdings" w:hint="default"/>
      </w:rPr>
    </w:lvl>
    <w:lvl w:ilvl="7" w:tplc="B9103D44" w:tentative="1">
      <w:start w:val="1"/>
      <w:numFmt w:val="bullet"/>
      <w:lvlText w:val=""/>
      <w:lvlJc w:val="left"/>
      <w:pPr>
        <w:tabs>
          <w:tab w:val="num" w:pos="5760"/>
        </w:tabs>
        <w:ind w:left="5760" w:hanging="360"/>
      </w:pPr>
      <w:rPr>
        <w:rFonts w:ascii="Wingdings" w:hAnsi="Wingdings" w:hint="default"/>
      </w:rPr>
    </w:lvl>
    <w:lvl w:ilvl="8" w:tplc="CF72F96A" w:tentative="1">
      <w:start w:val="1"/>
      <w:numFmt w:val="bullet"/>
      <w:lvlText w:val=""/>
      <w:lvlJc w:val="left"/>
      <w:pPr>
        <w:tabs>
          <w:tab w:val="num" w:pos="6480"/>
        </w:tabs>
        <w:ind w:left="6480" w:hanging="360"/>
      </w:pPr>
      <w:rPr>
        <w:rFonts w:ascii="Wingdings" w:hAnsi="Wingdings" w:hint="default"/>
      </w:rPr>
    </w:lvl>
  </w:abstractNum>
  <w:abstractNum w:abstractNumId="35">
    <w:nsid w:val="642E0CCC"/>
    <w:multiLevelType w:val="hybridMultilevel"/>
    <w:tmpl w:val="57D84F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F2197B"/>
    <w:multiLevelType w:val="hybridMultilevel"/>
    <w:tmpl w:val="53545706"/>
    <w:lvl w:ilvl="0" w:tplc="07328272">
      <w:start w:val="1"/>
      <w:numFmt w:val="bullet"/>
      <w:lvlText w:val=""/>
      <w:lvlJc w:val="left"/>
      <w:pPr>
        <w:tabs>
          <w:tab w:val="num" w:pos="360"/>
        </w:tabs>
        <w:ind w:left="360" w:hanging="360"/>
      </w:pPr>
      <w:rPr>
        <w:rFonts w:ascii="Wingdings" w:hAnsi="Wingdings"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38">
    <w:nsid w:val="6BFC74CE"/>
    <w:multiLevelType w:val="hybridMultilevel"/>
    <w:tmpl w:val="57BADF18"/>
    <w:lvl w:ilvl="0" w:tplc="921496CA">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F751E03"/>
    <w:multiLevelType w:val="hybridMultilevel"/>
    <w:tmpl w:val="109454B2"/>
    <w:lvl w:ilvl="0" w:tplc="9BBCF782">
      <w:start w:val="1"/>
      <w:numFmt w:val="bullet"/>
      <w:lvlText w:val=""/>
      <w:lvlJc w:val="left"/>
      <w:pPr>
        <w:tabs>
          <w:tab w:val="num" w:pos="720"/>
        </w:tabs>
        <w:ind w:left="720" w:hanging="360"/>
      </w:pPr>
      <w:rPr>
        <w:rFonts w:ascii="Wingdings" w:hAnsi="Wingdings" w:hint="default"/>
      </w:rPr>
    </w:lvl>
    <w:lvl w:ilvl="1" w:tplc="BBE86554">
      <w:start w:val="1"/>
      <w:numFmt w:val="bullet"/>
      <w:lvlText w:val=""/>
      <w:lvlJc w:val="left"/>
      <w:pPr>
        <w:tabs>
          <w:tab w:val="num" w:pos="1440"/>
        </w:tabs>
        <w:ind w:left="1440" w:hanging="360"/>
      </w:pPr>
      <w:rPr>
        <w:rFonts w:ascii="Wingdings" w:hAnsi="Wingdings" w:hint="default"/>
      </w:rPr>
    </w:lvl>
    <w:lvl w:ilvl="2" w:tplc="BDCCAB00" w:tentative="1">
      <w:start w:val="1"/>
      <w:numFmt w:val="bullet"/>
      <w:lvlText w:val=""/>
      <w:lvlJc w:val="left"/>
      <w:pPr>
        <w:tabs>
          <w:tab w:val="num" w:pos="2160"/>
        </w:tabs>
        <w:ind w:left="2160" w:hanging="360"/>
      </w:pPr>
      <w:rPr>
        <w:rFonts w:ascii="Wingdings" w:hAnsi="Wingdings" w:hint="default"/>
      </w:rPr>
    </w:lvl>
    <w:lvl w:ilvl="3" w:tplc="BF7210F4" w:tentative="1">
      <w:start w:val="1"/>
      <w:numFmt w:val="bullet"/>
      <w:lvlText w:val=""/>
      <w:lvlJc w:val="left"/>
      <w:pPr>
        <w:tabs>
          <w:tab w:val="num" w:pos="2880"/>
        </w:tabs>
        <w:ind w:left="2880" w:hanging="360"/>
      </w:pPr>
      <w:rPr>
        <w:rFonts w:ascii="Wingdings" w:hAnsi="Wingdings" w:hint="default"/>
      </w:rPr>
    </w:lvl>
    <w:lvl w:ilvl="4" w:tplc="E5627AA4" w:tentative="1">
      <w:start w:val="1"/>
      <w:numFmt w:val="bullet"/>
      <w:lvlText w:val=""/>
      <w:lvlJc w:val="left"/>
      <w:pPr>
        <w:tabs>
          <w:tab w:val="num" w:pos="3600"/>
        </w:tabs>
        <w:ind w:left="3600" w:hanging="360"/>
      </w:pPr>
      <w:rPr>
        <w:rFonts w:ascii="Wingdings" w:hAnsi="Wingdings" w:hint="default"/>
      </w:rPr>
    </w:lvl>
    <w:lvl w:ilvl="5" w:tplc="71AAE2F6" w:tentative="1">
      <w:start w:val="1"/>
      <w:numFmt w:val="bullet"/>
      <w:lvlText w:val=""/>
      <w:lvlJc w:val="left"/>
      <w:pPr>
        <w:tabs>
          <w:tab w:val="num" w:pos="4320"/>
        </w:tabs>
        <w:ind w:left="4320" w:hanging="360"/>
      </w:pPr>
      <w:rPr>
        <w:rFonts w:ascii="Wingdings" w:hAnsi="Wingdings" w:hint="default"/>
      </w:rPr>
    </w:lvl>
    <w:lvl w:ilvl="6" w:tplc="AFFA82E0" w:tentative="1">
      <w:start w:val="1"/>
      <w:numFmt w:val="bullet"/>
      <w:lvlText w:val=""/>
      <w:lvlJc w:val="left"/>
      <w:pPr>
        <w:tabs>
          <w:tab w:val="num" w:pos="5040"/>
        </w:tabs>
        <w:ind w:left="5040" w:hanging="360"/>
      </w:pPr>
      <w:rPr>
        <w:rFonts w:ascii="Wingdings" w:hAnsi="Wingdings" w:hint="default"/>
      </w:rPr>
    </w:lvl>
    <w:lvl w:ilvl="7" w:tplc="69707010" w:tentative="1">
      <w:start w:val="1"/>
      <w:numFmt w:val="bullet"/>
      <w:lvlText w:val=""/>
      <w:lvlJc w:val="left"/>
      <w:pPr>
        <w:tabs>
          <w:tab w:val="num" w:pos="5760"/>
        </w:tabs>
        <w:ind w:left="5760" w:hanging="360"/>
      </w:pPr>
      <w:rPr>
        <w:rFonts w:ascii="Wingdings" w:hAnsi="Wingdings" w:hint="default"/>
      </w:rPr>
    </w:lvl>
    <w:lvl w:ilvl="8" w:tplc="A826349E" w:tentative="1">
      <w:start w:val="1"/>
      <w:numFmt w:val="bullet"/>
      <w:lvlText w:val=""/>
      <w:lvlJc w:val="left"/>
      <w:pPr>
        <w:tabs>
          <w:tab w:val="num" w:pos="6480"/>
        </w:tabs>
        <w:ind w:left="6480" w:hanging="360"/>
      </w:pPr>
      <w:rPr>
        <w:rFonts w:ascii="Wingdings" w:hAnsi="Wingdings" w:hint="default"/>
      </w:rPr>
    </w:lvl>
  </w:abstractNum>
  <w:abstractNum w:abstractNumId="40">
    <w:nsid w:val="731F3FF2"/>
    <w:multiLevelType w:val="hybridMultilevel"/>
    <w:tmpl w:val="EE746380"/>
    <w:lvl w:ilvl="0" w:tplc="BB66AB42">
      <w:start w:val="1"/>
      <w:numFmt w:val="bullet"/>
      <w:lvlText w:val="•"/>
      <w:lvlJc w:val="left"/>
      <w:pPr>
        <w:tabs>
          <w:tab w:val="num" w:pos="720"/>
        </w:tabs>
        <w:ind w:left="720" w:hanging="360"/>
      </w:pPr>
      <w:rPr>
        <w:rFonts w:ascii="Arial" w:hAnsi="Arial" w:hint="default"/>
      </w:rPr>
    </w:lvl>
    <w:lvl w:ilvl="1" w:tplc="8C3691EC">
      <w:start w:val="174"/>
      <w:numFmt w:val="bullet"/>
      <w:lvlText w:val=""/>
      <w:lvlJc w:val="left"/>
      <w:pPr>
        <w:tabs>
          <w:tab w:val="num" w:pos="1440"/>
        </w:tabs>
        <w:ind w:left="1440" w:hanging="360"/>
      </w:pPr>
      <w:rPr>
        <w:rFonts w:ascii="Wingdings" w:hAnsi="Wingdings" w:hint="default"/>
      </w:rPr>
    </w:lvl>
    <w:lvl w:ilvl="2" w:tplc="76BA62E8" w:tentative="1">
      <w:start w:val="1"/>
      <w:numFmt w:val="bullet"/>
      <w:lvlText w:val="•"/>
      <w:lvlJc w:val="left"/>
      <w:pPr>
        <w:tabs>
          <w:tab w:val="num" w:pos="2160"/>
        </w:tabs>
        <w:ind w:left="2160" w:hanging="360"/>
      </w:pPr>
      <w:rPr>
        <w:rFonts w:ascii="Arial" w:hAnsi="Arial" w:hint="default"/>
      </w:rPr>
    </w:lvl>
    <w:lvl w:ilvl="3" w:tplc="C9B0D9BE" w:tentative="1">
      <w:start w:val="1"/>
      <w:numFmt w:val="bullet"/>
      <w:lvlText w:val="•"/>
      <w:lvlJc w:val="left"/>
      <w:pPr>
        <w:tabs>
          <w:tab w:val="num" w:pos="2880"/>
        </w:tabs>
        <w:ind w:left="2880" w:hanging="360"/>
      </w:pPr>
      <w:rPr>
        <w:rFonts w:ascii="Arial" w:hAnsi="Arial" w:hint="default"/>
      </w:rPr>
    </w:lvl>
    <w:lvl w:ilvl="4" w:tplc="CFC8AA70" w:tentative="1">
      <w:start w:val="1"/>
      <w:numFmt w:val="bullet"/>
      <w:lvlText w:val="•"/>
      <w:lvlJc w:val="left"/>
      <w:pPr>
        <w:tabs>
          <w:tab w:val="num" w:pos="3600"/>
        </w:tabs>
        <w:ind w:left="3600" w:hanging="360"/>
      </w:pPr>
      <w:rPr>
        <w:rFonts w:ascii="Arial" w:hAnsi="Arial" w:hint="default"/>
      </w:rPr>
    </w:lvl>
    <w:lvl w:ilvl="5" w:tplc="2F38E2B2" w:tentative="1">
      <w:start w:val="1"/>
      <w:numFmt w:val="bullet"/>
      <w:lvlText w:val="•"/>
      <w:lvlJc w:val="left"/>
      <w:pPr>
        <w:tabs>
          <w:tab w:val="num" w:pos="4320"/>
        </w:tabs>
        <w:ind w:left="4320" w:hanging="360"/>
      </w:pPr>
      <w:rPr>
        <w:rFonts w:ascii="Arial" w:hAnsi="Arial" w:hint="default"/>
      </w:rPr>
    </w:lvl>
    <w:lvl w:ilvl="6" w:tplc="7736C046" w:tentative="1">
      <w:start w:val="1"/>
      <w:numFmt w:val="bullet"/>
      <w:lvlText w:val="•"/>
      <w:lvlJc w:val="left"/>
      <w:pPr>
        <w:tabs>
          <w:tab w:val="num" w:pos="5040"/>
        </w:tabs>
        <w:ind w:left="5040" w:hanging="360"/>
      </w:pPr>
      <w:rPr>
        <w:rFonts w:ascii="Arial" w:hAnsi="Arial" w:hint="default"/>
      </w:rPr>
    </w:lvl>
    <w:lvl w:ilvl="7" w:tplc="F6FA5F8E" w:tentative="1">
      <w:start w:val="1"/>
      <w:numFmt w:val="bullet"/>
      <w:lvlText w:val="•"/>
      <w:lvlJc w:val="left"/>
      <w:pPr>
        <w:tabs>
          <w:tab w:val="num" w:pos="5760"/>
        </w:tabs>
        <w:ind w:left="5760" w:hanging="360"/>
      </w:pPr>
      <w:rPr>
        <w:rFonts w:ascii="Arial" w:hAnsi="Arial" w:hint="default"/>
      </w:rPr>
    </w:lvl>
    <w:lvl w:ilvl="8" w:tplc="2430BD4C" w:tentative="1">
      <w:start w:val="1"/>
      <w:numFmt w:val="bullet"/>
      <w:lvlText w:val="•"/>
      <w:lvlJc w:val="left"/>
      <w:pPr>
        <w:tabs>
          <w:tab w:val="num" w:pos="6480"/>
        </w:tabs>
        <w:ind w:left="6480" w:hanging="360"/>
      </w:pPr>
      <w:rPr>
        <w:rFonts w:ascii="Arial" w:hAnsi="Arial" w:hint="default"/>
      </w:rPr>
    </w:lvl>
  </w:abstractNum>
  <w:abstractNum w:abstractNumId="41">
    <w:nsid w:val="78A94CE1"/>
    <w:multiLevelType w:val="hybridMultilevel"/>
    <w:tmpl w:val="57B07982"/>
    <w:lvl w:ilvl="0" w:tplc="DA2A38C8">
      <w:start w:val="1"/>
      <w:numFmt w:val="bullet"/>
      <w:lvlText w:val="•"/>
      <w:lvlJc w:val="left"/>
      <w:pPr>
        <w:tabs>
          <w:tab w:val="num" w:pos="720"/>
        </w:tabs>
        <w:ind w:left="720" w:hanging="360"/>
      </w:pPr>
      <w:rPr>
        <w:rFonts w:ascii="Arial" w:hAnsi="Arial" w:hint="default"/>
      </w:rPr>
    </w:lvl>
    <w:lvl w:ilvl="1" w:tplc="A41AEB5C">
      <w:start w:val="174"/>
      <w:numFmt w:val="bullet"/>
      <w:lvlText w:val=""/>
      <w:lvlJc w:val="left"/>
      <w:pPr>
        <w:tabs>
          <w:tab w:val="num" w:pos="1440"/>
        </w:tabs>
        <w:ind w:left="1440" w:hanging="360"/>
      </w:pPr>
      <w:rPr>
        <w:rFonts w:ascii="Wingdings" w:hAnsi="Wingdings" w:hint="default"/>
      </w:rPr>
    </w:lvl>
    <w:lvl w:ilvl="2" w:tplc="A5C865EE" w:tentative="1">
      <w:start w:val="1"/>
      <w:numFmt w:val="bullet"/>
      <w:lvlText w:val="•"/>
      <w:lvlJc w:val="left"/>
      <w:pPr>
        <w:tabs>
          <w:tab w:val="num" w:pos="2160"/>
        </w:tabs>
        <w:ind w:left="2160" w:hanging="360"/>
      </w:pPr>
      <w:rPr>
        <w:rFonts w:ascii="Arial" w:hAnsi="Arial" w:hint="default"/>
      </w:rPr>
    </w:lvl>
    <w:lvl w:ilvl="3" w:tplc="B67A1A6C" w:tentative="1">
      <w:start w:val="1"/>
      <w:numFmt w:val="bullet"/>
      <w:lvlText w:val="•"/>
      <w:lvlJc w:val="left"/>
      <w:pPr>
        <w:tabs>
          <w:tab w:val="num" w:pos="2880"/>
        </w:tabs>
        <w:ind w:left="2880" w:hanging="360"/>
      </w:pPr>
      <w:rPr>
        <w:rFonts w:ascii="Arial" w:hAnsi="Arial" w:hint="default"/>
      </w:rPr>
    </w:lvl>
    <w:lvl w:ilvl="4" w:tplc="16AAEDF8" w:tentative="1">
      <w:start w:val="1"/>
      <w:numFmt w:val="bullet"/>
      <w:lvlText w:val="•"/>
      <w:lvlJc w:val="left"/>
      <w:pPr>
        <w:tabs>
          <w:tab w:val="num" w:pos="3600"/>
        </w:tabs>
        <w:ind w:left="3600" w:hanging="360"/>
      </w:pPr>
      <w:rPr>
        <w:rFonts w:ascii="Arial" w:hAnsi="Arial" w:hint="default"/>
      </w:rPr>
    </w:lvl>
    <w:lvl w:ilvl="5" w:tplc="E2E02BBC" w:tentative="1">
      <w:start w:val="1"/>
      <w:numFmt w:val="bullet"/>
      <w:lvlText w:val="•"/>
      <w:lvlJc w:val="left"/>
      <w:pPr>
        <w:tabs>
          <w:tab w:val="num" w:pos="4320"/>
        </w:tabs>
        <w:ind w:left="4320" w:hanging="360"/>
      </w:pPr>
      <w:rPr>
        <w:rFonts w:ascii="Arial" w:hAnsi="Arial" w:hint="default"/>
      </w:rPr>
    </w:lvl>
    <w:lvl w:ilvl="6" w:tplc="16C856B0" w:tentative="1">
      <w:start w:val="1"/>
      <w:numFmt w:val="bullet"/>
      <w:lvlText w:val="•"/>
      <w:lvlJc w:val="left"/>
      <w:pPr>
        <w:tabs>
          <w:tab w:val="num" w:pos="5040"/>
        </w:tabs>
        <w:ind w:left="5040" w:hanging="360"/>
      </w:pPr>
      <w:rPr>
        <w:rFonts w:ascii="Arial" w:hAnsi="Arial" w:hint="default"/>
      </w:rPr>
    </w:lvl>
    <w:lvl w:ilvl="7" w:tplc="29FE4918" w:tentative="1">
      <w:start w:val="1"/>
      <w:numFmt w:val="bullet"/>
      <w:lvlText w:val="•"/>
      <w:lvlJc w:val="left"/>
      <w:pPr>
        <w:tabs>
          <w:tab w:val="num" w:pos="5760"/>
        </w:tabs>
        <w:ind w:left="5760" w:hanging="360"/>
      </w:pPr>
      <w:rPr>
        <w:rFonts w:ascii="Arial" w:hAnsi="Arial" w:hint="default"/>
      </w:rPr>
    </w:lvl>
    <w:lvl w:ilvl="8" w:tplc="90B63A10" w:tentative="1">
      <w:start w:val="1"/>
      <w:numFmt w:val="bullet"/>
      <w:lvlText w:val="•"/>
      <w:lvlJc w:val="left"/>
      <w:pPr>
        <w:tabs>
          <w:tab w:val="num" w:pos="6480"/>
        </w:tabs>
        <w:ind w:left="6480" w:hanging="360"/>
      </w:pPr>
      <w:rPr>
        <w:rFonts w:ascii="Arial" w:hAnsi="Arial" w:hint="default"/>
      </w:rPr>
    </w:lvl>
  </w:abstractNum>
  <w:abstractNum w:abstractNumId="42">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C8A186B"/>
    <w:multiLevelType w:val="hybridMultilevel"/>
    <w:tmpl w:val="105ABF74"/>
    <w:lvl w:ilvl="0" w:tplc="0C0A0001">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44">
    <w:nsid w:val="7EAD0448"/>
    <w:multiLevelType w:val="hybridMultilevel"/>
    <w:tmpl w:val="ECA4FA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9"/>
  </w:num>
  <w:num w:numId="3">
    <w:abstractNumId w:val="8"/>
  </w:num>
  <w:num w:numId="4">
    <w:abstractNumId w:val="37"/>
  </w:num>
  <w:num w:numId="5">
    <w:abstractNumId w:val="23"/>
  </w:num>
  <w:num w:numId="6">
    <w:abstractNumId w:val="22"/>
  </w:num>
  <w:num w:numId="7">
    <w:abstractNumId w:val="29"/>
  </w:num>
  <w:num w:numId="8">
    <w:abstractNumId w:val="43"/>
  </w:num>
  <w:num w:numId="9">
    <w:abstractNumId w:val="14"/>
  </w:num>
  <w:num w:numId="10">
    <w:abstractNumId w:val="13"/>
  </w:num>
  <w:num w:numId="11">
    <w:abstractNumId w:val="31"/>
  </w:num>
  <w:num w:numId="12">
    <w:abstractNumId w:val="15"/>
  </w:num>
  <w:num w:numId="13">
    <w:abstractNumId w:val="42"/>
  </w:num>
  <w:num w:numId="14">
    <w:abstractNumId w:val="3"/>
  </w:num>
  <w:num w:numId="15">
    <w:abstractNumId w:val="34"/>
  </w:num>
  <w:num w:numId="16">
    <w:abstractNumId w:val="17"/>
  </w:num>
  <w:num w:numId="17">
    <w:abstractNumId w:val="1"/>
  </w:num>
  <w:num w:numId="18">
    <w:abstractNumId w:val="36"/>
  </w:num>
  <w:num w:numId="19">
    <w:abstractNumId w:val="27"/>
  </w:num>
  <w:num w:numId="20">
    <w:abstractNumId w:val="35"/>
  </w:num>
  <w:num w:numId="21">
    <w:abstractNumId w:val="44"/>
  </w:num>
  <w:num w:numId="22">
    <w:abstractNumId w:val="12"/>
  </w:num>
  <w:num w:numId="23">
    <w:abstractNumId w:val="16"/>
  </w:num>
  <w:num w:numId="24">
    <w:abstractNumId w:val="9"/>
  </w:num>
  <w:num w:numId="25">
    <w:abstractNumId w:val="26"/>
  </w:num>
  <w:num w:numId="26">
    <w:abstractNumId w:val="11"/>
  </w:num>
  <w:num w:numId="27">
    <w:abstractNumId w:val="7"/>
  </w:num>
  <w:num w:numId="28">
    <w:abstractNumId w:val="19"/>
  </w:num>
  <w:num w:numId="29">
    <w:abstractNumId w:val="4"/>
  </w:num>
  <w:num w:numId="30">
    <w:abstractNumId w:val="33"/>
  </w:num>
  <w:num w:numId="31">
    <w:abstractNumId w:val="32"/>
  </w:num>
  <w:num w:numId="32">
    <w:abstractNumId w:val="21"/>
  </w:num>
  <w:num w:numId="33">
    <w:abstractNumId w:val="41"/>
  </w:num>
  <w:num w:numId="34">
    <w:abstractNumId w:val="40"/>
  </w:num>
  <w:num w:numId="35">
    <w:abstractNumId w:val="38"/>
  </w:num>
  <w:num w:numId="36">
    <w:abstractNumId w:val="20"/>
  </w:num>
  <w:num w:numId="37">
    <w:abstractNumId w:val="25"/>
  </w:num>
  <w:num w:numId="38">
    <w:abstractNumId w:val="6"/>
  </w:num>
  <w:num w:numId="39">
    <w:abstractNumId w:val="10"/>
  </w:num>
  <w:num w:numId="40">
    <w:abstractNumId w:val="28"/>
  </w:num>
  <w:num w:numId="41">
    <w:abstractNumId w:val="18"/>
  </w:num>
  <w:num w:numId="42">
    <w:abstractNumId w:val="30"/>
  </w:num>
  <w:num w:numId="43">
    <w:abstractNumId w:val="24"/>
  </w:num>
  <w:num w:numId="44">
    <w:abstractNumId w:val="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07E20"/>
    <w:rsid w:val="00007E81"/>
    <w:rsid w:val="00011080"/>
    <w:rsid w:val="0001742A"/>
    <w:rsid w:val="00030836"/>
    <w:rsid w:val="00030CDB"/>
    <w:rsid w:val="00043762"/>
    <w:rsid w:val="00043989"/>
    <w:rsid w:val="00044AA9"/>
    <w:rsid w:val="0005108F"/>
    <w:rsid w:val="00060DFD"/>
    <w:rsid w:val="00070764"/>
    <w:rsid w:val="000737EB"/>
    <w:rsid w:val="000757A8"/>
    <w:rsid w:val="000936E2"/>
    <w:rsid w:val="00094F01"/>
    <w:rsid w:val="00097016"/>
    <w:rsid w:val="000A074F"/>
    <w:rsid w:val="000A43E1"/>
    <w:rsid w:val="000B1EED"/>
    <w:rsid w:val="000B2684"/>
    <w:rsid w:val="000C4057"/>
    <w:rsid w:val="000D0280"/>
    <w:rsid w:val="000E65BE"/>
    <w:rsid w:val="000F0F81"/>
    <w:rsid w:val="000F181D"/>
    <w:rsid w:val="000F52F9"/>
    <w:rsid w:val="00106B3B"/>
    <w:rsid w:val="00107FA9"/>
    <w:rsid w:val="00113DBD"/>
    <w:rsid w:val="00115773"/>
    <w:rsid w:val="00115EDA"/>
    <w:rsid w:val="00116515"/>
    <w:rsid w:val="001214B0"/>
    <w:rsid w:val="00133E38"/>
    <w:rsid w:val="00137BCF"/>
    <w:rsid w:val="00145CB9"/>
    <w:rsid w:val="00146839"/>
    <w:rsid w:val="00146972"/>
    <w:rsid w:val="00154945"/>
    <w:rsid w:val="00155826"/>
    <w:rsid w:val="00157C79"/>
    <w:rsid w:val="00164A55"/>
    <w:rsid w:val="00166268"/>
    <w:rsid w:val="00166F40"/>
    <w:rsid w:val="00167861"/>
    <w:rsid w:val="001715E3"/>
    <w:rsid w:val="001715ED"/>
    <w:rsid w:val="00181C75"/>
    <w:rsid w:val="001825A8"/>
    <w:rsid w:val="001831F0"/>
    <w:rsid w:val="00186463"/>
    <w:rsid w:val="00187987"/>
    <w:rsid w:val="001A0741"/>
    <w:rsid w:val="001A0A3B"/>
    <w:rsid w:val="001A2C87"/>
    <w:rsid w:val="001C0FF0"/>
    <w:rsid w:val="001C1F68"/>
    <w:rsid w:val="001C1FB5"/>
    <w:rsid w:val="001C7F38"/>
    <w:rsid w:val="001D0F0C"/>
    <w:rsid w:val="001D16DB"/>
    <w:rsid w:val="001D40E4"/>
    <w:rsid w:val="001D546D"/>
    <w:rsid w:val="001D6FFA"/>
    <w:rsid w:val="001E1DF4"/>
    <w:rsid w:val="001E2553"/>
    <w:rsid w:val="001E335D"/>
    <w:rsid w:val="001E5D55"/>
    <w:rsid w:val="001E5EF9"/>
    <w:rsid w:val="001E6FAA"/>
    <w:rsid w:val="001F0D51"/>
    <w:rsid w:val="001F24E4"/>
    <w:rsid w:val="00201EE6"/>
    <w:rsid w:val="00202DDE"/>
    <w:rsid w:val="00205373"/>
    <w:rsid w:val="00207B6E"/>
    <w:rsid w:val="0021148A"/>
    <w:rsid w:val="002167FD"/>
    <w:rsid w:val="00216EE3"/>
    <w:rsid w:val="00221699"/>
    <w:rsid w:val="002256F1"/>
    <w:rsid w:val="0023041F"/>
    <w:rsid w:val="00233395"/>
    <w:rsid w:val="00234D87"/>
    <w:rsid w:val="002360CD"/>
    <w:rsid w:val="00237791"/>
    <w:rsid w:val="00240FE2"/>
    <w:rsid w:val="0024111E"/>
    <w:rsid w:val="00241687"/>
    <w:rsid w:val="00246AE0"/>
    <w:rsid w:val="00254C8B"/>
    <w:rsid w:val="0026706F"/>
    <w:rsid w:val="0027580A"/>
    <w:rsid w:val="0027685B"/>
    <w:rsid w:val="0028092E"/>
    <w:rsid w:val="0028725C"/>
    <w:rsid w:val="00287BF8"/>
    <w:rsid w:val="00291B31"/>
    <w:rsid w:val="002A621E"/>
    <w:rsid w:val="002A746F"/>
    <w:rsid w:val="002A7AC5"/>
    <w:rsid w:val="002B717E"/>
    <w:rsid w:val="002C2E9E"/>
    <w:rsid w:val="002C68A6"/>
    <w:rsid w:val="002D0811"/>
    <w:rsid w:val="002D3C88"/>
    <w:rsid w:val="002E68C8"/>
    <w:rsid w:val="002E6969"/>
    <w:rsid w:val="002F1CC0"/>
    <w:rsid w:val="002F2EA9"/>
    <w:rsid w:val="002F5187"/>
    <w:rsid w:val="00304708"/>
    <w:rsid w:val="00304A67"/>
    <w:rsid w:val="003062DB"/>
    <w:rsid w:val="00321367"/>
    <w:rsid w:val="003267B5"/>
    <w:rsid w:val="00332EF8"/>
    <w:rsid w:val="00333F58"/>
    <w:rsid w:val="0034362C"/>
    <w:rsid w:val="00344094"/>
    <w:rsid w:val="003476BF"/>
    <w:rsid w:val="00347D7C"/>
    <w:rsid w:val="0035167F"/>
    <w:rsid w:val="003557FD"/>
    <w:rsid w:val="00357CD4"/>
    <w:rsid w:val="0036450F"/>
    <w:rsid w:val="00367E76"/>
    <w:rsid w:val="003740E5"/>
    <w:rsid w:val="00374357"/>
    <w:rsid w:val="00391B0C"/>
    <w:rsid w:val="00397687"/>
    <w:rsid w:val="003B379D"/>
    <w:rsid w:val="003B44CE"/>
    <w:rsid w:val="003B45AB"/>
    <w:rsid w:val="003C3135"/>
    <w:rsid w:val="003C3227"/>
    <w:rsid w:val="003C52B6"/>
    <w:rsid w:val="003D130B"/>
    <w:rsid w:val="003D33EE"/>
    <w:rsid w:val="003D7A30"/>
    <w:rsid w:val="003E183D"/>
    <w:rsid w:val="003E4C01"/>
    <w:rsid w:val="003F3A71"/>
    <w:rsid w:val="003F4F16"/>
    <w:rsid w:val="00412C7A"/>
    <w:rsid w:val="00415AA8"/>
    <w:rsid w:val="0042348E"/>
    <w:rsid w:val="00425BAB"/>
    <w:rsid w:val="00427503"/>
    <w:rsid w:val="004309D0"/>
    <w:rsid w:val="00431A2B"/>
    <w:rsid w:val="00431BD0"/>
    <w:rsid w:val="0043769F"/>
    <w:rsid w:val="00441CB4"/>
    <w:rsid w:val="00444873"/>
    <w:rsid w:val="00445079"/>
    <w:rsid w:val="0045603D"/>
    <w:rsid w:val="00456ADC"/>
    <w:rsid w:val="00462F92"/>
    <w:rsid w:val="00466AFD"/>
    <w:rsid w:val="00467843"/>
    <w:rsid w:val="004733B3"/>
    <w:rsid w:val="0047347E"/>
    <w:rsid w:val="00476187"/>
    <w:rsid w:val="0048010E"/>
    <w:rsid w:val="0048022F"/>
    <w:rsid w:val="0048180D"/>
    <w:rsid w:val="004863ED"/>
    <w:rsid w:val="004900C6"/>
    <w:rsid w:val="004929C8"/>
    <w:rsid w:val="00497227"/>
    <w:rsid w:val="004A4728"/>
    <w:rsid w:val="004A714D"/>
    <w:rsid w:val="004C3C2C"/>
    <w:rsid w:val="004C47C9"/>
    <w:rsid w:val="004E093E"/>
    <w:rsid w:val="004F23EE"/>
    <w:rsid w:val="004F58AA"/>
    <w:rsid w:val="004F615E"/>
    <w:rsid w:val="0050112D"/>
    <w:rsid w:val="00506AD1"/>
    <w:rsid w:val="00512EEC"/>
    <w:rsid w:val="00516EAF"/>
    <w:rsid w:val="00521BEF"/>
    <w:rsid w:val="00522FDF"/>
    <w:rsid w:val="005231A9"/>
    <w:rsid w:val="005239ED"/>
    <w:rsid w:val="00524C54"/>
    <w:rsid w:val="00527AB7"/>
    <w:rsid w:val="005358AE"/>
    <w:rsid w:val="00543DF4"/>
    <w:rsid w:val="0055147B"/>
    <w:rsid w:val="005518F8"/>
    <w:rsid w:val="00564C9C"/>
    <w:rsid w:val="005655DF"/>
    <w:rsid w:val="005701E5"/>
    <w:rsid w:val="0057064B"/>
    <w:rsid w:val="00584ABD"/>
    <w:rsid w:val="005869E8"/>
    <w:rsid w:val="005876D4"/>
    <w:rsid w:val="0059100D"/>
    <w:rsid w:val="005A69BB"/>
    <w:rsid w:val="005A7164"/>
    <w:rsid w:val="005B1990"/>
    <w:rsid w:val="005B2242"/>
    <w:rsid w:val="005B4F2F"/>
    <w:rsid w:val="005B5747"/>
    <w:rsid w:val="005B7E72"/>
    <w:rsid w:val="005C6254"/>
    <w:rsid w:val="005C6AF4"/>
    <w:rsid w:val="005C77DE"/>
    <w:rsid w:val="005C7829"/>
    <w:rsid w:val="005D2625"/>
    <w:rsid w:val="005D2C0E"/>
    <w:rsid w:val="005D4315"/>
    <w:rsid w:val="005D5A8C"/>
    <w:rsid w:val="005E0008"/>
    <w:rsid w:val="005E1FF0"/>
    <w:rsid w:val="005F2177"/>
    <w:rsid w:val="005F52BE"/>
    <w:rsid w:val="00600CE6"/>
    <w:rsid w:val="0060113D"/>
    <w:rsid w:val="00602610"/>
    <w:rsid w:val="00606E05"/>
    <w:rsid w:val="006124C0"/>
    <w:rsid w:val="006144BD"/>
    <w:rsid w:val="00617AFB"/>
    <w:rsid w:val="00617C43"/>
    <w:rsid w:val="00621181"/>
    <w:rsid w:val="00623AEB"/>
    <w:rsid w:val="00625948"/>
    <w:rsid w:val="00626C37"/>
    <w:rsid w:val="0062719E"/>
    <w:rsid w:val="00627DA3"/>
    <w:rsid w:val="0063532A"/>
    <w:rsid w:val="00643B16"/>
    <w:rsid w:val="00645841"/>
    <w:rsid w:val="00645C72"/>
    <w:rsid w:val="00650859"/>
    <w:rsid w:val="0065426E"/>
    <w:rsid w:val="00654296"/>
    <w:rsid w:val="00655704"/>
    <w:rsid w:val="00655D8B"/>
    <w:rsid w:val="006564D9"/>
    <w:rsid w:val="00656D90"/>
    <w:rsid w:val="00663A18"/>
    <w:rsid w:val="00664E79"/>
    <w:rsid w:val="0066508C"/>
    <w:rsid w:val="006736F9"/>
    <w:rsid w:val="00674CD1"/>
    <w:rsid w:val="006807CB"/>
    <w:rsid w:val="00691CC2"/>
    <w:rsid w:val="00694B83"/>
    <w:rsid w:val="00697697"/>
    <w:rsid w:val="006A0105"/>
    <w:rsid w:val="006A0F41"/>
    <w:rsid w:val="006A23BD"/>
    <w:rsid w:val="006A6D90"/>
    <w:rsid w:val="006B3687"/>
    <w:rsid w:val="006B7B69"/>
    <w:rsid w:val="006B7D58"/>
    <w:rsid w:val="006C3CF1"/>
    <w:rsid w:val="006C4569"/>
    <w:rsid w:val="006C45FF"/>
    <w:rsid w:val="006C4C8E"/>
    <w:rsid w:val="006D2B9B"/>
    <w:rsid w:val="006D2D46"/>
    <w:rsid w:val="006D48C1"/>
    <w:rsid w:val="006E485A"/>
    <w:rsid w:val="006F1D96"/>
    <w:rsid w:val="006F71AA"/>
    <w:rsid w:val="00705A28"/>
    <w:rsid w:val="00706183"/>
    <w:rsid w:val="007108AB"/>
    <w:rsid w:val="00710E8A"/>
    <w:rsid w:val="007146B1"/>
    <w:rsid w:val="007210E6"/>
    <w:rsid w:val="00722B8F"/>
    <w:rsid w:val="00725C81"/>
    <w:rsid w:val="0073068A"/>
    <w:rsid w:val="00737F92"/>
    <w:rsid w:val="007413A2"/>
    <w:rsid w:val="00771906"/>
    <w:rsid w:val="00772FF2"/>
    <w:rsid w:val="00774CF7"/>
    <w:rsid w:val="00775AA3"/>
    <w:rsid w:val="00776C73"/>
    <w:rsid w:val="007814C8"/>
    <w:rsid w:val="007910C2"/>
    <w:rsid w:val="0079291B"/>
    <w:rsid w:val="007A131F"/>
    <w:rsid w:val="007A3E04"/>
    <w:rsid w:val="007A61FC"/>
    <w:rsid w:val="007B117D"/>
    <w:rsid w:val="007B5414"/>
    <w:rsid w:val="007C072C"/>
    <w:rsid w:val="007C2A92"/>
    <w:rsid w:val="007D198C"/>
    <w:rsid w:val="007D23D3"/>
    <w:rsid w:val="007D6752"/>
    <w:rsid w:val="007D7074"/>
    <w:rsid w:val="007E217E"/>
    <w:rsid w:val="007E2614"/>
    <w:rsid w:val="007E42D0"/>
    <w:rsid w:val="007F016F"/>
    <w:rsid w:val="007F29F4"/>
    <w:rsid w:val="007F50A5"/>
    <w:rsid w:val="007F750C"/>
    <w:rsid w:val="00800BD5"/>
    <w:rsid w:val="008025CA"/>
    <w:rsid w:val="00802DE6"/>
    <w:rsid w:val="00810316"/>
    <w:rsid w:val="0081073C"/>
    <w:rsid w:val="00830C1A"/>
    <w:rsid w:val="00834956"/>
    <w:rsid w:val="008357A6"/>
    <w:rsid w:val="00850DE0"/>
    <w:rsid w:val="0085272A"/>
    <w:rsid w:val="00857A27"/>
    <w:rsid w:val="008653FE"/>
    <w:rsid w:val="008678EC"/>
    <w:rsid w:val="008714D5"/>
    <w:rsid w:val="00876263"/>
    <w:rsid w:val="008809C0"/>
    <w:rsid w:val="00881E73"/>
    <w:rsid w:val="0088243D"/>
    <w:rsid w:val="008842BC"/>
    <w:rsid w:val="00892547"/>
    <w:rsid w:val="00894690"/>
    <w:rsid w:val="00897A65"/>
    <w:rsid w:val="008A178B"/>
    <w:rsid w:val="008B50E2"/>
    <w:rsid w:val="008B54FA"/>
    <w:rsid w:val="008C4453"/>
    <w:rsid w:val="008C73FA"/>
    <w:rsid w:val="008C7872"/>
    <w:rsid w:val="008D0DD3"/>
    <w:rsid w:val="008D2238"/>
    <w:rsid w:val="008D445E"/>
    <w:rsid w:val="008D5EA4"/>
    <w:rsid w:val="008E5EBB"/>
    <w:rsid w:val="008F2405"/>
    <w:rsid w:val="008F49D8"/>
    <w:rsid w:val="008F6FD1"/>
    <w:rsid w:val="009009D7"/>
    <w:rsid w:val="00901ECA"/>
    <w:rsid w:val="00910E11"/>
    <w:rsid w:val="00911003"/>
    <w:rsid w:val="00913DA1"/>
    <w:rsid w:val="009146ED"/>
    <w:rsid w:val="009163AF"/>
    <w:rsid w:val="009170FF"/>
    <w:rsid w:val="009208AB"/>
    <w:rsid w:val="009313E0"/>
    <w:rsid w:val="00932C26"/>
    <w:rsid w:val="00933147"/>
    <w:rsid w:val="00933C7A"/>
    <w:rsid w:val="00935F4B"/>
    <w:rsid w:val="009376E9"/>
    <w:rsid w:val="00941616"/>
    <w:rsid w:val="00944041"/>
    <w:rsid w:val="0095373F"/>
    <w:rsid w:val="00954C73"/>
    <w:rsid w:val="0096239F"/>
    <w:rsid w:val="0096276F"/>
    <w:rsid w:val="00964930"/>
    <w:rsid w:val="00970CD0"/>
    <w:rsid w:val="009732DC"/>
    <w:rsid w:val="00974401"/>
    <w:rsid w:val="00974955"/>
    <w:rsid w:val="00982BA8"/>
    <w:rsid w:val="00985977"/>
    <w:rsid w:val="00991D58"/>
    <w:rsid w:val="00996EA8"/>
    <w:rsid w:val="009A0096"/>
    <w:rsid w:val="009A0918"/>
    <w:rsid w:val="009A0A40"/>
    <w:rsid w:val="009A7523"/>
    <w:rsid w:val="009B3016"/>
    <w:rsid w:val="009B7B95"/>
    <w:rsid w:val="009C1E3C"/>
    <w:rsid w:val="009C2632"/>
    <w:rsid w:val="009C65A2"/>
    <w:rsid w:val="009C7C60"/>
    <w:rsid w:val="009D2DF2"/>
    <w:rsid w:val="009D4D6A"/>
    <w:rsid w:val="009E0407"/>
    <w:rsid w:val="009F1B02"/>
    <w:rsid w:val="009F1C65"/>
    <w:rsid w:val="009F2D4C"/>
    <w:rsid w:val="009F3382"/>
    <w:rsid w:val="00A00543"/>
    <w:rsid w:val="00A023D6"/>
    <w:rsid w:val="00A03FA8"/>
    <w:rsid w:val="00A04CB0"/>
    <w:rsid w:val="00A04D4A"/>
    <w:rsid w:val="00A05C48"/>
    <w:rsid w:val="00A102DA"/>
    <w:rsid w:val="00A27C8F"/>
    <w:rsid w:val="00A40005"/>
    <w:rsid w:val="00A40A78"/>
    <w:rsid w:val="00A4132B"/>
    <w:rsid w:val="00A43DCE"/>
    <w:rsid w:val="00A547FB"/>
    <w:rsid w:val="00A609F2"/>
    <w:rsid w:val="00A61C85"/>
    <w:rsid w:val="00A62CE1"/>
    <w:rsid w:val="00A63B8D"/>
    <w:rsid w:val="00A72DC6"/>
    <w:rsid w:val="00A736F8"/>
    <w:rsid w:val="00A739BD"/>
    <w:rsid w:val="00A85C9B"/>
    <w:rsid w:val="00A86D8C"/>
    <w:rsid w:val="00A90044"/>
    <w:rsid w:val="00A93884"/>
    <w:rsid w:val="00A95504"/>
    <w:rsid w:val="00A9685E"/>
    <w:rsid w:val="00AA6450"/>
    <w:rsid w:val="00AA7C37"/>
    <w:rsid w:val="00AB3984"/>
    <w:rsid w:val="00AB601E"/>
    <w:rsid w:val="00AB6AFB"/>
    <w:rsid w:val="00AC6220"/>
    <w:rsid w:val="00AD0E7B"/>
    <w:rsid w:val="00AD4884"/>
    <w:rsid w:val="00AD4F0A"/>
    <w:rsid w:val="00AD56E5"/>
    <w:rsid w:val="00AD6AA4"/>
    <w:rsid w:val="00AE0251"/>
    <w:rsid w:val="00AE28FD"/>
    <w:rsid w:val="00AE5EBF"/>
    <w:rsid w:val="00AE7D36"/>
    <w:rsid w:val="00AF11F5"/>
    <w:rsid w:val="00AF5A01"/>
    <w:rsid w:val="00AF5EE6"/>
    <w:rsid w:val="00AF796A"/>
    <w:rsid w:val="00B02162"/>
    <w:rsid w:val="00B12DE4"/>
    <w:rsid w:val="00B2709A"/>
    <w:rsid w:val="00B30BB1"/>
    <w:rsid w:val="00B448C9"/>
    <w:rsid w:val="00B512F0"/>
    <w:rsid w:val="00B51990"/>
    <w:rsid w:val="00B61CAF"/>
    <w:rsid w:val="00B62E60"/>
    <w:rsid w:val="00B721E8"/>
    <w:rsid w:val="00B72E9E"/>
    <w:rsid w:val="00B775F1"/>
    <w:rsid w:val="00B83B71"/>
    <w:rsid w:val="00B914F5"/>
    <w:rsid w:val="00B96876"/>
    <w:rsid w:val="00B97D24"/>
    <w:rsid w:val="00BA0F29"/>
    <w:rsid w:val="00BA1A32"/>
    <w:rsid w:val="00BA1F20"/>
    <w:rsid w:val="00BA390A"/>
    <w:rsid w:val="00BA48DB"/>
    <w:rsid w:val="00BB71A7"/>
    <w:rsid w:val="00BB721E"/>
    <w:rsid w:val="00BC10AD"/>
    <w:rsid w:val="00BC4521"/>
    <w:rsid w:val="00BD08F5"/>
    <w:rsid w:val="00BD2B5E"/>
    <w:rsid w:val="00BD3231"/>
    <w:rsid w:val="00BD65B6"/>
    <w:rsid w:val="00BE09C9"/>
    <w:rsid w:val="00BE6A1D"/>
    <w:rsid w:val="00BF2A78"/>
    <w:rsid w:val="00BF3BD8"/>
    <w:rsid w:val="00BF4CA2"/>
    <w:rsid w:val="00BF4FEF"/>
    <w:rsid w:val="00BF56B9"/>
    <w:rsid w:val="00BF6286"/>
    <w:rsid w:val="00C01F03"/>
    <w:rsid w:val="00C03F1F"/>
    <w:rsid w:val="00C048CE"/>
    <w:rsid w:val="00C11D1A"/>
    <w:rsid w:val="00C1294A"/>
    <w:rsid w:val="00C1721B"/>
    <w:rsid w:val="00C179AA"/>
    <w:rsid w:val="00C21F99"/>
    <w:rsid w:val="00C220B6"/>
    <w:rsid w:val="00C22165"/>
    <w:rsid w:val="00C22C53"/>
    <w:rsid w:val="00C230D9"/>
    <w:rsid w:val="00C23230"/>
    <w:rsid w:val="00C338B9"/>
    <w:rsid w:val="00C34EF4"/>
    <w:rsid w:val="00C356F3"/>
    <w:rsid w:val="00C36C39"/>
    <w:rsid w:val="00C36EB8"/>
    <w:rsid w:val="00C37BED"/>
    <w:rsid w:val="00C408C9"/>
    <w:rsid w:val="00C543B1"/>
    <w:rsid w:val="00C57B1A"/>
    <w:rsid w:val="00C71947"/>
    <w:rsid w:val="00C72CE7"/>
    <w:rsid w:val="00C757E3"/>
    <w:rsid w:val="00C75A27"/>
    <w:rsid w:val="00C77996"/>
    <w:rsid w:val="00C779B8"/>
    <w:rsid w:val="00C8125E"/>
    <w:rsid w:val="00C845E2"/>
    <w:rsid w:val="00C93F37"/>
    <w:rsid w:val="00C9556B"/>
    <w:rsid w:val="00C961FE"/>
    <w:rsid w:val="00CA3438"/>
    <w:rsid w:val="00CA5B30"/>
    <w:rsid w:val="00CB0A90"/>
    <w:rsid w:val="00CB2C86"/>
    <w:rsid w:val="00CB4338"/>
    <w:rsid w:val="00CB640A"/>
    <w:rsid w:val="00CC4E9D"/>
    <w:rsid w:val="00CC71B9"/>
    <w:rsid w:val="00CD0355"/>
    <w:rsid w:val="00CD15C1"/>
    <w:rsid w:val="00CD3E61"/>
    <w:rsid w:val="00CE0E53"/>
    <w:rsid w:val="00CE503F"/>
    <w:rsid w:val="00CE59C3"/>
    <w:rsid w:val="00CF69F9"/>
    <w:rsid w:val="00CF7871"/>
    <w:rsid w:val="00D0256C"/>
    <w:rsid w:val="00D03A9F"/>
    <w:rsid w:val="00D0479F"/>
    <w:rsid w:val="00D06722"/>
    <w:rsid w:val="00D1199B"/>
    <w:rsid w:val="00D14F25"/>
    <w:rsid w:val="00D20239"/>
    <w:rsid w:val="00D25298"/>
    <w:rsid w:val="00D3394B"/>
    <w:rsid w:val="00D34102"/>
    <w:rsid w:val="00D34977"/>
    <w:rsid w:val="00D37B98"/>
    <w:rsid w:val="00D46973"/>
    <w:rsid w:val="00D518EA"/>
    <w:rsid w:val="00D53AF3"/>
    <w:rsid w:val="00D56390"/>
    <w:rsid w:val="00D64F9A"/>
    <w:rsid w:val="00D65924"/>
    <w:rsid w:val="00D71408"/>
    <w:rsid w:val="00D725D6"/>
    <w:rsid w:val="00D72C37"/>
    <w:rsid w:val="00D81026"/>
    <w:rsid w:val="00D87BE9"/>
    <w:rsid w:val="00D902BC"/>
    <w:rsid w:val="00DA0655"/>
    <w:rsid w:val="00DA4041"/>
    <w:rsid w:val="00DA5209"/>
    <w:rsid w:val="00DA685B"/>
    <w:rsid w:val="00DA6D3B"/>
    <w:rsid w:val="00DB22A7"/>
    <w:rsid w:val="00DB5DBB"/>
    <w:rsid w:val="00DB624F"/>
    <w:rsid w:val="00DC0FE9"/>
    <w:rsid w:val="00DC26B7"/>
    <w:rsid w:val="00DC7141"/>
    <w:rsid w:val="00DD0301"/>
    <w:rsid w:val="00DD1E44"/>
    <w:rsid w:val="00DD6779"/>
    <w:rsid w:val="00DD6939"/>
    <w:rsid w:val="00DF1BEC"/>
    <w:rsid w:val="00DF2837"/>
    <w:rsid w:val="00DF604E"/>
    <w:rsid w:val="00DF78FB"/>
    <w:rsid w:val="00E03336"/>
    <w:rsid w:val="00E05D40"/>
    <w:rsid w:val="00E135E1"/>
    <w:rsid w:val="00E1370D"/>
    <w:rsid w:val="00E13BCF"/>
    <w:rsid w:val="00E17C50"/>
    <w:rsid w:val="00E211A7"/>
    <w:rsid w:val="00E25070"/>
    <w:rsid w:val="00E25D28"/>
    <w:rsid w:val="00E26AFA"/>
    <w:rsid w:val="00E317F6"/>
    <w:rsid w:val="00E333A9"/>
    <w:rsid w:val="00E33C5C"/>
    <w:rsid w:val="00E34383"/>
    <w:rsid w:val="00E35990"/>
    <w:rsid w:val="00E36016"/>
    <w:rsid w:val="00E41192"/>
    <w:rsid w:val="00E46AC0"/>
    <w:rsid w:val="00E50CD6"/>
    <w:rsid w:val="00E51206"/>
    <w:rsid w:val="00E51B60"/>
    <w:rsid w:val="00E56B1C"/>
    <w:rsid w:val="00E571E6"/>
    <w:rsid w:val="00E65B90"/>
    <w:rsid w:val="00E8477C"/>
    <w:rsid w:val="00E90D9B"/>
    <w:rsid w:val="00EA03A4"/>
    <w:rsid w:val="00EA5620"/>
    <w:rsid w:val="00EB201D"/>
    <w:rsid w:val="00EB5757"/>
    <w:rsid w:val="00EB7889"/>
    <w:rsid w:val="00EC0BBE"/>
    <w:rsid w:val="00EC530B"/>
    <w:rsid w:val="00ED175D"/>
    <w:rsid w:val="00EE11A1"/>
    <w:rsid w:val="00EE1F9C"/>
    <w:rsid w:val="00EE4A12"/>
    <w:rsid w:val="00EE4A42"/>
    <w:rsid w:val="00EF441F"/>
    <w:rsid w:val="00F0064F"/>
    <w:rsid w:val="00F07EC4"/>
    <w:rsid w:val="00F07F39"/>
    <w:rsid w:val="00F1508E"/>
    <w:rsid w:val="00F215B3"/>
    <w:rsid w:val="00F25484"/>
    <w:rsid w:val="00F257DC"/>
    <w:rsid w:val="00F3012B"/>
    <w:rsid w:val="00F31B16"/>
    <w:rsid w:val="00F34E09"/>
    <w:rsid w:val="00F37275"/>
    <w:rsid w:val="00F40191"/>
    <w:rsid w:val="00F456E8"/>
    <w:rsid w:val="00F540EC"/>
    <w:rsid w:val="00F55AA1"/>
    <w:rsid w:val="00F55B18"/>
    <w:rsid w:val="00F56122"/>
    <w:rsid w:val="00F601C8"/>
    <w:rsid w:val="00F607FF"/>
    <w:rsid w:val="00F63717"/>
    <w:rsid w:val="00F73422"/>
    <w:rsid w:val="00F74C2B"/>
    <w:rsid w:val="00F755A3"/>
    <w:rsid w:val="00F813B5"/>
    <w:rsid w:val="00F81CE9"/>
    <w:rsid w:val="00F825F6"/>
    <w:rsid w:val="00F87308"/>
    <w:rsid w:val="00F90AB3"/>
    <w:rsid w:val="00F92C01"/>
    <w:rsid w:val="00F92C5A"/>
    <w:rsid w:val="00F94CA6"/>
    <w:rsid w:val="00FA1092"/>
    <w:rsid w:val="00FA51EC"/>
    <w:rsid w:val="00FA5FED"/>
    <w:rsid w:val="00FB036C"/>
    <w:rsid w:val="00FB4388"/>
    <w:rsid w:val="00FC0047"/>
    <w:rsid w:val="00FC097E"/>
    <w:rsid w:val="00FC6B0D"/>
    <w:rsid w:val="00FD57BC"/>
    <w:rsid w:val="00FE0B0D"/>
    <w:rsid w:val="00FE2743"/>
    <w:rsid w:val="00FF20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6ADC"/>
    <w:rPr>
      <w:rFonts w:ascii="Calibri" w:hAnsi="Calibri"/>
      <w:szCs w:val="24"/>
    </w:rPr>
  </w:style>
  <w:style w:type="paragraph" w:styleId="Heading1">
    <w:name w:val="heading 1"/>
    <w:basedOn w:val="Normal"/>
    <w:next w:val="Normal"/>
    <w:link w:val="Heading1Char"/>
    <w:uiPriority w:val="99"/>
    <w:qFormat/>
    <w:rsid w:val="00D06722"/>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CF69F9"/>
    <w:pPr>
      <w:spacing w:before="100" w:beforeAutospacing="1" w:after="100" w:afterAutospacing="1"/>
      <w:outlineLvl w:val="1"/>
    </w:pPr>
    <w:rPr>
      <w:rFonts w:ascii="Times New Roman" w:hAnsi="Times New Roman"/>
      <w:b/>
      <w:bCs/>
      <w:sz w:val="36"/>
      <w:szCs w:val="36"/>
      <w:lang w:val="de-DE" w:eastAsia="de-DE"/>
    </w:rPr>
  </w:style>
  <w:style w:type="paragraph" w:styleId="Heading3">
    <w:name w:val="heading 3"/>
    <w:basedOn w:val="Normal"/>
    <w:next w:val="Normal"/>
    <w:link w:val="Heading3Char"/>
    <w:uiPriority w:val="99"/>
    <w:qFormat/>
    <w:rsid w:val="00DF60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604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EF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4EF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34EF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34EF4"/>
    <w:rPr>
      <w:rFonts w:ascii="Calibri" w:hAnsi="Calibri" w:cs="Times New Roman"/>
      <w:b/>
      <w:bCs/>
      <w:sz w:val="28"/>
      <w:szCs w:val="28"/>
    </w:rPr>
  </w:style>
  <w:style w:type="paragraph" w:styleId="Header">
    <w:name w:val="header"/>
    <w:basedOn w:val="Normal"/>
    <w:link w:val="HeaderChar1"/>
    <w:uiPriority w:val="99"/>
    <w:rsid w:val="00A95504"/>
    <w:pPr>
      <w:tabs>
        <w:tab w:val="center" w:pos="4252"/>
        <w:tab w:val="right" w:pos="8504"/>
      </w:tabs>
    </w:pPr>
    <w:rPr>
      <w:sz w:val="24"/>
      <w:szCs w:val="20"/>
    </w:rPr>
  </w:style>
  <w:style w:type="character" w:customStyle="1" w:styleId="HeaderChar">
    <w:name w:val="Header Char"/>
    <w:basedOn w:val="DefaultParagraphFont"/>
    <w:link w:val="Header"/>
    <w:uiPriority w:val="99"/>
    <w:semiHidden/>
    <w:locked/>
    <w:rsid w:val="00C34EF4"/>
    <w:rPr>
      <w:rFonts w:ascii="Calibri" w:hAnsi="Calibri" w:cs="Times New Roman"/>
      <w:sz w:val="24"/>
      <w:szCs w:val="24"/>
    </w:rPr>
  </w:style>
  <w:style w:type="paragraph" w:styleId="Footer">
    <w:name w:val="footer"/>
    <w:basedOn w:val="Normal"/>
    <w:link w:val="FooterChar1"/>
    <w:uiPriority w:val="99"/>
    <w:rsid w:val="00A95504"/>
    <w:pPr>
      <w:tabs>
        <w:tab w:val="center" w:pos="4252"/>
        <w:tab w:val="right" w:pos="8504"/>
      </w:tabs>
    </w:pPr>
    <w:rPr>
      <w:sz w:val="24"/>
      <w:szCs w:val="20"/>
    </w:rPr>
  </w:style>
  <w:style w:type="character" w:customStyle="1" w:styleId="FooterChar">
    <w:name w:val="Footer Char"/>
    <w:basedOn w:val="DefaultParagraphFont"/>
    <w:link w:val="Footer"/>
    <w:uiPriority w:val="99"/>
    <w:semiHidden/>
    <w:locked/>
    <w:rsid w:val="00C34EF4"/>
    <w:rPr>
      <w:rFonts w:ascii="Calibri" w:hAnsi="Calibri" w:cs="Times New Roman"/>
      <w:sz w:val="24"/>
      <w:szCs w:val="24"/>
    </w:rPr>
  </w:style>
  <w:style w:type="character" w:styleId="PageNumber">
    <w:name w:val="page number"/>
    <w:basedOn w:val="DefaultParagraphFont"/>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yperlink">
    <w:name w:val="Hyperlink"/>
    <w:basedOn w:val="DefaultParagraphFont"/>
    <w:uiPriority w:val="99"/>
    <w:rsid w:val="001A0741"/>
    <w:rPr>
      <w:rFonts w:cs="Times New Roman"/>
      <w:color w:val="0000FF"/>
      <w:u w:val="single"/>
    </w:rPr>
  </w:style>
  <w:style w:type="character" w:styleId="FollowedHyperlink">
    <w:name w:val="FollowedHyperlink"/>
    <w:basedOn w:val="DefaultParagraphFont"/>
    <w:uiPriority w:val="99"/>
    <w:rsid w:val="009170FF"/>
    <w:rPr>
      <w:rFonts w:cs="Times New Roman"/>
      <w:color w:val="800080"/>
      <w:u w:val="single"/>
    </w:rPr>
  </w:style>
  <w:style w:type="paragraph" w:styleId="FootnoteText">
    <w:name w:val="footnote text"/>
    <w:basedOn w:val="Normal"/>
    <w:link w:val="FootnoteTextChar1"/>
    <w:uiPriority w:val="99"/>
    <w:rsid w:val="00D902BC"/>
    <w:rPr>
      <w:sz w:val="20"/>
      <w:szCs w:val="20"/>
    </w:rPr>
  </w:style>
  <w:style w:type="character" w:customStyle="1" w:styleId="FootnoteTextChar">
    <w:name w:val="Footnote Text Char"/>
    <w:basedOn w:val="DefaultParagraphFont"/>
    <w:link w:val="FootnoteText"/>
    <w:uiPriority w:val="99"/>
    <w:locked/>
    <w:rsid w:val="0065426E"/>
    <w:rPr>
      <w:rFonts w:ascii="Calibri" w:hAnsi="Calibri" w:cs="Times New Roman"/>
      <w:lang w:val="es-ES" w:eastAsia="es-ES"/>
    </w:rPr>
  </w:style>
  <w:style w:type="character" w:styleId="FootnoteReference">
    <w:name w:val="footnote reference"/>
    <w:basedOn w:val="DefaultParagraphFont"/>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FootnoteTextChar1">
    <w:name w:val="Footnote Text Char1"/>
    <w:link w:val="FootnoteText"/>
    <w:uiPriority w:val="99"/>
    <w:locked/>
    <w:rsid w:val="00B61CAF"/>
    <w:rPr>
      <w:rFonts w:ascii="Calibri" w:hAnsi="Calibri"/>
      <w:lang w:val="es-ES" w:eastAsia="es-ES"/>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basedOn w:val="DefaultParagraphFont"/>
    <w:uiPriority w:val="99"/>
    <w:rsid w:val="00CF69F9"/>
    <w:rPr>
      <w:rFonts w:cs="Times New Roman"/>
    </w:rPr>
  </w:style>
  <w:style w:type="character" w:customStyle="1" w:styleId="articletypelabel">
    <w:name w:val="articletypelabel"/>
    <w:basedOn w:val="DefaultParagraphFont"/>
    <w:uiPriority w:val="99"/>
    <w:rsid w:val="00CF69F9"/>
    <w:rPr>
      <w:rFonts w:cs="Times New Roman"/>
    </w:rPr>
  </w:style>
  <w:style w:type="paragraph" w:styleId="ListParagraph">
    <w:name w:val="List Paragraph"/>
    <w:basedOn w:val="Normal"/>
    <w:uiPriority w:val="99"/>
    <w:qFormat/>
    <w:rsid w:val="00EE4A12"/>
    <w:pPr>
      <w:spacing w:after="200" w:line="276" w:lineRule="auto"/>
      <w:ind w:left="720"/>
      <w:contextualSpacing/>
    </w:pPr>
    <w:rPr>
      <w:szCs w:val="22"/>
      <w:lang w:eastAsia="en-US"/>
    </w:rPr>
  </w:style>
  <w:style w:type="paragraph" w:styleId="BalloonText">
    <w:name w:val="Balloon Text"/>
    <w:basedOn w:val="Normal"/>
    <w:link w:val="BalloonTextChar"/>
    <w:uiPriority w:val="99"/>
    <w:semiHidden/>
    <w:rsid w:val="00107FA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07FA9"/>
    <w:rPr>
      <w:rFonts w:ascii="Lucida Grande" w:hAnsi="Lucida Grande" w:cs="Times New Roman"/>
      <w:sz w:val="18"/>
      <w:szCs w:val="18"/>
    </w:rPr>
  </w:style>
  <w:style w:type="character" w:customStyle="1" w:styleId="HeaderChar1">
    <w:name w:val="Header Char1"/>
    <w:link w:val="Header"/>
    <w:uiPriority w:val="99"/>
    <w:locked/>
    <w:rsid w:val="007F29F4"/>
    <w:rPr>
      <w:rFonts w:ascii="Calibri" w:hAnsi="Calibri"/>
      <w:sz w:val="24"/>
      <w:lang w:val="es-ES" w:eastAsia="es-ES"/>
    </w:rPr>
  </w:style>
  <w:style w:type="character" w:customStyle="1" w:styleId="FooterChar1">
    <w:name w:val="Footer Char1"/>
    <w:link w:val="Footer"/>
    <w:uiPriority w:val="99"/>
    <w:locked/>
    <w:rsid w:val="007F29F4"/>
    <w:rPr>
      <w:rFonts w:ascii="Calibri" w:hAnsi="Calibri"/>
      <w:sz w:val="24"/>
      <w:lang w:val="es-ES" w:eastAsia="es-ES"/>
    </w:rPr>
  </w:style>
</w:styles>
</file>

<file path=word/webSettings.xml><?xml version="1.0" encoding="utf-8"?>
<w:webSettings xmlns:r="http://schemas.openxmlformats.org/officeDocument/2006/relationships" xmlns:w="http://schemas.openxmlformats.org/wordprocessingml/2006/main">
  <w:divs>
    <w:div w:id="990794728">
      <w:marLeft w:val="0"/>
      <w:marRight w:val="0"/>
      <w:marTop w:val="0"/>
      <w:marBottom w:val="0"/>
      <w:divBdr>
        <w:top w:val="none" w:sz="0" w:space="0" w:color="auto"/>
        <w:left w:val="none" w:sz="0" w:space="0" w:color="auto"/>
        <w:bottom w:val="none" w:sz="0" w:space="0" w:color="auto"/>
        <w:right w:val="none" w:sz="0" w:space="0" w:color="auto"/>
      </w:divBdr>
    </w:div>
    <w:div w:id="990794738">
      <w:marLeft w:val="0"/>
      <w:marRight w:val="0"/>
      <w:marTop w:val="0"/>
      <w:marBottom w:val="0"/>
      <w:divBdr>
        <w:top w:val="none" w:sz="0" w:space="0" w:color="auto"/>
        <w:left w:val="none" w:sz="0" w:space="0" w:color="auto"/>
        <w:bottom w:val="none" w:sz="0" w:space="0" w:color="auto"/>
        <w:right w:val="none" w:sz="0" w:space="0" w:color="auto"/>
      </w:divBdr>
      <w:divsChild>
        <w:div w:id="990794737">
          <w:marLeft w:val="720"/>
          <w:marRight w:val="0"/>
          <w:marTop w:val="0"/>
          <w:marBottom w:val="0"/>
          <w:divBdr>
            <w:top w:val="none" w:sz="0" w:space="0" w:color="auto"/>
            <w:left w:val="none" w:sz="0" w:space="0" w:color="auto"/>
            <w:bottom w:val="none" w:sz="0" w:space="0" w:color="auto"/>
            <w:right w:val="none" w:sz="0" w:space="0" w:color="auto"/>
          </w:divBdr>
        </w:div>
        <w:div w:id="990794742">
          <w:marLeft w:val="720"/>
          <w:marRight w:val="0"/>
          <w:marTop w:val="0"/>
          <w:marBottom w:val="0"/>
          <w:divBdr>
            <w:top w:val="none" w:sz="0" w:space="0" w:color="auto"/>
            <w:left w:val="none" w:sz="0" w:space="0" w:color="auto"/>
            <w:bottom w:val="none" w:sz="0" w:space="0" w:color="auto"/>
            <w:right w:val="none" w:sz="0" w:space="0" w:color="auto"/>
          </w:divBdr>
        </w:div>
        <w:div w:id="990794774">
          <w:marLeft w:val="720"/>
          <w:marRight w:val="0"/>
          <w:marTop w:val="0"/>
          <w:marBottom w:val="0"/>
          <w:divBdr>
            <w:top w:val="none" w:sz="0" w:space="0" w:color="auto"/>
            <w:left w:val="none" w:sz="0" w:space="0" w:color="auto"/>
            <w:bottom w:val="none" w:sz="0" w:space="0" w:color="auto"/>
            <w:right w:val="none" w:sz="0" w:space="0" w:color="auto"/>
          </w:divBdr>
        </w:div>
        <w:div w:id="990794790">
          <w:marLeft w:val="720"/>
          <w:marRight w:val="0"/>
          <w:marTop w:val="0"/>
          <w:marBottom w:val="0"/>
          <w:divBdr>
            <w:top w:val="none" w:sz="0" w:space="0" w:color="auto"/>
            <w:left w:val="none" w:sz="0" w:space="0" w:color="auto"/>
            <w:bottom w:val="none" w:sz="0" w:space="0" w:color="auto"/>
            <w:right w:val="none" w:sz="0" w:space="0" w:color="auto"/>
          </w:divBdr>
        </w:div>
        <w:div w:id="990794795">
          <w:marLeft w:val="720"/>
          <w:marRight w:val="0"/>
          <w:marTop w:val="0"/>
          <w:marBottom w:val="0"/>
          <w:divBdr>
            <w:top w:val="none" w:sz="0" w:space="0" w:color="auto"/>
            <w:left w:val="none" w:sz="0" w:space="0" w:color="auto"/>
            <w:bottom w:val="none" w:sz="0" w:space="0" w:color="auto"/>
            <w:right w:val="none" w:sz="0" w:space="0" w:color="auto"/>
          </w:divBdr>
        </w:div>
      </w:divsChild>
    </w:div>
    <w:div w:id="990794747">
      <w:marLeft w:val="0"/>
      <w:marRight w:val="0"/>
      <w:marTop w:val="0"/>
      <w:marBottom w:val="0"/>
      <w:divBdr>
        <w:top w:val="none" w:sz="0" w:space="0" w:color="auto"/>
        <w:left w:val="none" w:sz="0" w:space="0" w:color="auto"/>
        <w:bottom w:val="none" w:sz="0" w:space="0" w:color="auto"/>
        <w:right w:val="none" w:sz="0" w:space="0" w:color="auto"/>
      </w:divBdr>
    </w:div>
    <w:div w:id="990794748">
      <w:marLeft w:val="0"/>
      <w:marRight w:val="0"/>
      <w:marTop w:val="0"/>
      <w:marBottom w:val="0"/>
      <w:divBdr>
        <w:top w:val="none" w:sz="0" w:space="0" w:color="auto"/>
        <w:left w:val="none" w:sz="0" w:space="0" w:color="auto"/>
        <w:bottom w:val="none" w:sz="0" w:space="0" w:color="auto"/>
        <w:right w:val="none" w:sz="0" w:space="0" w:color="auto"/>
      </w:divBdr>
      <w:divsChild>
        <w:div w:id="990794772">
          <w:marLeft w:val="0"/>
          <w:marRight w:val="0"/>
          <w:marTop w:val="0"/>
          <w:marBottom w:val="0"/>
          <w:divBdr>
            <w:top w:val="none" w:sz="0" w:space="0" w:color="auto"/>
            <w:left w:val="none" w:sz="0" w:space="0" w:color="auto"/>
            <w:bottom w:val="none" w:sz="0" w:space="0" w:color="auto"/>
            <w:right w:val="none" w:sz="0" w:space="0" w:color="auto"/>
          </w:divBdr>
        </w:div>
      </w:divsChild>
    </w:div>
    <w:div w:id="990794750">
      <w:marLeft w:val="0"/>
      <w:marRight w:val="0"/>
      <w:marTop w:val="0"/>
      <w:marBottom w:val="0"/>
      <w:divBdr>
        <w:top w:val="none" w:sz="0" w:space="0" w:color="auto"/>
        <w:left w:val="none" w:sz="0" w:space="0" w:color="auto"/>
        <w:bottom w:val="none" w:sz="0" w:space="0" w:color="auto"/>
        <w:right w:val="none" w:sz="0" w:space="0" w:color="auto"/>
      </w:divBdr>
      <w:divsChild>
        <w:div w:id="990794820">
          <w:marLeft w:val="0"/>
          <w:marRight w:val="0"/>
          <w:marTop w:val="0"/>
          <w:marBottom w:val="0"/>
          <w:divBdr>
            <w:top w:val="none" w:sz="0" w:space="0" w:color="auto"/>
            <w:left w:val="none" w:sz="0" w:space="0" w:color="auto"/>
            <w:bottom w:val="none" w:sz="0" w:space="0" w:color="auto"/>
            <w:right w:val="none" w:sz="0" w:space="0" w:color="auto"/>
          </w:divBdr>
        </w:div>
      </w:divsChild>
    </w:div>
    <w:div w:id="990794752">
      <w:marLeft w:val="0"/>
      <w:marRight w:val="0"/>
      <w:marTop w:val="0"/>
      <w:marBottom w:val="0"/>
      <w:divBdr>
        <w:top w:val="none" w:sz="0" w:space="0" w:color="auto"/>
        <w:left w:val="none" w:sz="0" w:space="0" w:color="auto"/>
        <w:bottom w:val="none" w:sz="0" w:space="0" w:color="auto"/>
        <w:right w:val="none" w:sz="0" w:space="0" w:color="auto"/>
      </w:divBdr>
    </w:div>
    <w:div w:id="990794753">
      <w:marLeft w:val="0"/>
      <w:marRight w:val="0"/>
      <w:marTop w:val="0"/>
      <w:marBottom w:val="0"/>
      <w:divBdr>
        <w:top w:val="none" w:sz="0" w:space="0" w:color="auto"/>
        <w:left w:val="none" w:sz="0" w:space="0" w:color="auto"/>
        <w:bottom w:val="none" w:sz="0" w:space="0" w:color="auto"/>
        <w:right w:val="none" w:sz="0" w:space="0" w:color="auto"/>
      </w:divBdr>
      <w:divsChild>
        <w:div w:id="990794814">
          <w:marLeft w:val="0"/>
          <w:marRight w:val="0"/>
          <w:marTop w:val="0"/>
          <w:marBottom w:val="0"/>
          <w:divBdr>
            <w:top w:val="none" w:sz="0" w:space="0" w:color="auto"/>
            <w:left w:val="none" w:sz="0" w:space="0" w:color="auto"/>
            <w:bottom w:val="none" w:sz="0" w:space="0" w:color="auto"/>
            <w:right w:val="none" w:sz="0" w:space="0" w:color="auto"/>
          </w:divBdr>
          <w:divsChild>
            <w:div w:id="990794733">
              <w:marLeft w:val="0"/>
              <w:marRight w:val="0"/>
              <w:marTop w:val="0"/>
              <w:marBottom w:val="0"/>
              <w:divBdr>
                <w:top w:val="none" w:sz="0" w:space="0" w:color="auto"/>
                <w:left w:val="none" w:sz="0" w:space="0" w:color="auto"/>
                <w:bottom w:val="none" w:sz="0" w:space="0" w:color="auto"/>
                <w:right w:val="none" w:sz="0" w:space="0" w:color="auto"/>
              </w:divBdr>
            </w:div>
            <w:div w:id="990794780">
              <w:marLeft w:val="0"/>
              <w:marRight w:val="0"/>
              <w:marTop w:val="0"/>
              <w:marBottom w:val="0"/>
              <w:divBdr>
                <w:top w:val="none" w:sz="0" w:space="0" w:color="auto"/>
                <w:left w:val="none" w:sz="0" w:space="0" w:color="auto"/>
                <w:bottom w:val="none" w:sz="0" w:space="0" w:color="auto"/>
                <w:right w:val="none" w:sz="0" w:space="0" w:color="auto"/>
              </w:divBdr>
            </w:div>
            <w:div w:id="9907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4754">
      <w:marLeft w:val="0"/>
      <w:marRight w:val="0"/>
      <w:marTop w:val="0"/>
      <w:marBottom w:val="0"/>
      <w:divBdr>
        <w:top w:val="none" w:sz="0" w:space="0" w:color="auto"/>
        <w:left w:val="none" w:sz="0" w:space="0" w:color="auto"/>
        <w:bottom w:val="none" w:sz="0" w:space="0" w:color="auto"/>
        <w:right w:val="none" w:sz="0" w:space="0" w:color="auto"/>
      </w:divBdr>
    </w:div>
    <w:div w:id="990794757">
      <w:marLeft w:val="0"/>
      <w:marRight w:val="0"/>
      <w:marTop w:val="0"/>
      <w:marBottom w:val="0"/>
      <w:divBdr>
        <w:top w:val="none" w:sz="0" w:space="0" w:color="auto"/>
        <w:left w:val="none" w:sz="0" w:space="0" w:color="auto"/>
        <w:bottom w:val="none" w:sz="0" w:space="0" w:color="auto"/>
        <w:right w:val="none" w:sz="0" w:space="0" w:color="auto"/>
      </w:divBdr>
      <w:divsChild>
        <w:div w:id="990794834">
          <w:marLeft w:val="0"/>
          <w:marRight w:val="0"/>
          <w:marTop w:val="0"/>
          <w:marBottom w:val="0"/>
          <w:divBdr>
            <w:top w:val="none" w:sz="0" w:space="0" w:color="auto"/>
            <w:left w:val="none" w:sz="0" w:space="0" w:color="auto"/>
            <w:bottom w:val="none" w:sz="0" w:space="0" w:color="auto"/>
            <w:right w:val="none" w:sz="0" w:space="0" w:color="auto"/>
          </w:divBdr>
        </w:div>
      </w:divsChild>
    </w:div>
    <w:div w:id="990794759">
      <w:marLeft w:val="0"/>
      <w:marRight w:val="0"/>
      <w:marTop w:val="0"/>
      <w:marBottom w:val="0"/>
      <w:divBdr>
        <w:top w:val="none" w:sz="0" w:space="0" w:color="auto"/>
        <w:left w:val="none" w:sz="0" w:space="0" w:color="auto"/>
        <w:bottom w:val="none" w:sz="0" w:space="0" w:color="auto"/>
        <w:right w:val="none" w:sz="0" w:space="0" w:color="auto"/>
      </w:divBdr>
      <w:divsChild>
        <w:div w:id="990794806">
          <w:marLeft w:val="0"/>
          <w:marRight w:val="0"/>
          <w:marTop w:val="0"/>
          <w:marBottom w:val="0"/>
          <w:divBdr>
            <w:top w:val="none" w:sz="0" w:space="0" w:color="auto"/>
            <w:left w:val="none" w:sz="0" w:space="0" w:color="auto"/>
            <w:bottom w:val="none" w:sz="0" w:space="0" w:color="auto"/>
            <w:right w:val="none" w:sz="0" w:space="0" w:color="auto"/>
          </w:divBdr>
        </w:div>
      </w:divsChild>
    </w:div>
    <w:div w:id="990794761">
      <w:marLeft w:val="0"/>
      <w:marRight w:val="0"/>
      <w:marTop w:val="0"/>
      <w:marBottom w:val="0"/>
      <w:divBdr>
        <w:top w:val="none" w:sz="0" w:space="0" w:color="auto"/>
        <w:left w:val="none" w:sz="0" w:space="0" w:color="auto"/>
        <w:bottom w:val="none" w:sz="0" w:space="0" w:color="auto"/>
        <w:right w:val="none" w:sz="0" w:space="0" w:color="auto"/>
      </w:divBdr>
      <w:divsChild>
        <w:div w:id="990794758">
          <w:marLeft w:val="547"/>
          <w:marRight w:val="0"/>
          <w:marTop w:val="0"/>
          <w:marBottom w:val="0"/>
          <w:divBdr>
            <w:top w:val="none" w:sz="0" w:space="0" w:color="auto"/>
            <w:left w:val="none" w:sz="0" w:space="0" w:color="auto"/>
            <w:bottom w:val="none" w:sz="0" w:space="0" w:color="auto"/>
            <w:right w:val="none" w:sz="0" w:space="0" w:color="auto"/>
          </w:divBdr>
        </w:div>
        <w:div w:id="990794770">
          <w:marLeft w:val="547"/>
          <w:marRight w:val="0"/>
          <w:marTop w:val="0"/>
          <w:marBottom w:val="0"/>
          <w:divBdr>
            <w:top w:val="none" w:sz="0" w:space="0" w:color="auto"/>
            <w:left w:val="none" w:sz="0" w:space="0" w:color="auto"/>
            <w:bottom w:val="none" w:sz="0" w:space="0" w:color="auto"/>
            <w:right w:val="none" w:sz="0" w:space="0" w:color="auto"/>
          </w:divBdr>
        </w:div>
        <w:div w:id="990794798">
          <w:marLeft w:val="547"/>
          <w:marRight w:val="0"/>
          <w:marTop w:val="0"/>
          <w:marBottom w:val="0"/>
          <w:divBdr>
            <w:top w:val="none" w:sz="0" w:space="0" w:color="auto"/>
            <w:left w:val="none" w:sz="0" w:space="0" w:color="auto"/>
            <w:bottom w:val="none" w:sz="0" w:space="0" w:color="auto"/>
            <w:right w:val="none" w:sz="0" w:space="0" w:color="auto"/>
          </w:divBdr>
        </w:div>
        <w:div w:id="990794827">
          <w:marLeft w:val="547"/>
          <w:marRight w:val="0"/>
          <w:marTop w:val="0"/>
          <w:marBottom w:val="0"/>
          <w:divBdr>
            <w:top w:val="none" w:sz="0" w:space="0" w:color="auto"/>
            <w:left w:val="none" w:sz="0" w:space="0" w:color="auto"/>
            <w:bottom w:val="none" w:sz="0" w:space="0" w:color="auto"/>
            <w:right w:val="none" w:sz="0" w:space="0" w:color="auto"/>
          </w:divBdr>
        </w:div>
        <w:div w:id="990794831">
          <w:marLeft w:val="547"/>
          <w:marRight w:val="0"/>
          <w:marTop w:val="0"/>
          <w:marBottom w:val="0"/>
          <w:divBdr>
            <w:top w:val="none" w:sz="0" w:space="0" w:color="auto"/>
            <w:left w:val="none" w:sz="0" w:space="0" w:color="auto"/>
            <w:bottom w:val="none" w:sz="0" w:space="0" w:color="auto"/>
            <w:right w:val="none" w:sz="0" w:space="0" w:color="auto"/>
          </w:divBdr>
        </w:div>
      </w:divsChild>
    </w:div>
    <w:div w:id="990794763">
      <w:marLeft w:val="0"/>
      <w:marRight w:val="0"/>
      <w:marTop w:val="0"/>
      <w:marBottom w:val="0"/>
      <w:divBdr>
        <w:top w:val="none" w:sz="0" w:space="0" w:color="auto"/>
        <w:left w:val="none" w:sz="0" w:space="0" w:color="auto"/>
        <w:bottom w:val="none" w:sz="0" w:space="0" w:color="auto"/>
        <w:right w:val="none" w:sz="0" w:space="0" w:color="auto"/>
      </w:divBdr>
      <w:divsChild>
        <w:div w:id="990794781">
          <w:marLeft w:val="0"/>
          <w:marRight w:val="0"/>
          <w:marTop w:val="0"/>
          <w:marBottom w:val="0"/>
          <w:divBdr>
            <w:top w:val="none" w:sz="0" w:space="0" w:color="auto"/>
            <w:left w:val="none" w:sz="0" w:space="0" w:color="auto"/>
            <w:bottom w:val="none" w:sz="0" w:space="0" w:color="auto"/>
            <w:right w:val="none" w:sz="0" w:space="0" w:color="auto"/>
          </w:divBdr>
        </w:div>
      </w:divsChild>
    </w:div>
    <w:div w:id="990794766">
      <w:marLeft w:val="0"/>
      <w:marRight w:val="0"/>
      <w:marTop w:val="0"/>
      <w:marBottom w:val="0"/>
      <w:divBdr>
        <w:top w:val="none" w:sz="0" w:space="0" w:color="auto"/>
        <w:left w:val="none" w:sz="0" w:space="0" w:color="auto"/>
        <w:bottom w:val="none" w:sz="0" w:space="0" w:color="auto"/>
        <w:right w:val="none" w:sz="0" w:space="0" w:color="auto"/>
      </w:divBdr>
      <w:divsChild>
        <w:div w:id="990794824">
          <w:marLeft w:val="0"/>
          <w:marRight w:val="0"/>
          <w:marTop w:val="0"/>
          <w:marBottom w:val="0"/>
          <w:divBdr>
            <w:top w:val="none" w:sz="0" w:space="0" w:color="auto"/>
            <w:left w:val="none" w:sz="0" w:space="0" w:color="auto"/>
            <w:bottom w:val="none" w:sz="0" w:space="0" w:color="auto"/>
            <w:right w:val="none" w:sz="0" w:space="0" w:color="auto"/>
          </w:divBdr>
        </w:div>
      </w:divsChild>
    </w:div>
    <w:div w:id="990794767">
      <w:marLeft w:val="0"/>
      <w:marRight w:val="0"/>
      <w:marTop w:val="0"/>
      <w:marBottom w:val="0"/>
      <w:divBdr>
        <w:top w:val="none" w:sz="0" w:space="0" w:color="auto"/>
        <w:left w:val="none" w:sz="0" w:space="0" w:color="auto"/>
        <w:bottom w:val="none" w:sz="0" w:space="0" w:color="auto"/>
        <w:right w:val="none" w:sz="0" w:space="0" w:color="auto"/>
      </w:divBdr>
      <w:divsChild>
        <w:div w:id="990794727">
          <w:marLeft w:val="0"/>
          <w:marRight w:val="0"/>
          <w:marTop w:val="0"/>
          <w:marBottom w:val="0"/>
          <w:divBdr>
            <w:top w:val="none" w:sz="0" w:space="0" w:color="auto"/>
            <w:left w:val="none" w:sz="0" w:space="0" w:color="auto"/>
            <w:bottom w:val="none" w:sz="0" w:space="0" w:color="auto"/>
            <w:right w:val="none" w:sz="0" w:space="0" w:color="auto"/>
          </w:divBdr>
        </w:div>
      </w:divsChild>
    </w:div>
    <w:div w:id="990794768">
      <w:marLeft w:val="0"/>
      <w:marRight w:val="0"/>
      <w:marTop w:val="0"/>
      <w:marBottom w:val="0"/>
      <w:divBdr>
        <w:top w:val="none" w:sz="0" w:space="0" w:color="auto"/>
        <w:left w:val="none" w:sz="0" w:space="0" w:color="auto"/>
        <w:bottom w:val="none" w:sz="0" w:space="0" w:color="auto"/>
        <w:right w:val="none" w:sz="0" w:space="0" w:color="auto"/>
      </w:divBdr>
      <w:divsChild>
        <w:div w:id="990794751">
          <w:marLeft w:val="0"/>
          <w:marRight w:val="0"/>
          <w:marTop w:val="0"/>
          <w:marBottom w:val="0"/>
          <w:divBdr>
            <w:top w:val="none" w:sz="0" w:space="0" w:color="auto"/>
            <w:left w:val="none" w:sz="0" w:space="0" w:color="auto"/>
            <w:bottom w:val="none" w:sz="0" w:space="0" w:color="auto"/>
            <w:right w:val="none" w:sz="0" w:space="0" w:color="auto"/>
          </w:divBdr>
        </w:div>
      </w:divsChild>
    </w:div>
    <w:div w:id="990794769">
      <w:marLeft w:val="0"/>
      <w:marRight w:val="0"/>
      <w:marTop w:val="0"/>
      <w:marBottom w:val="0"/>
      <w:divBdr>
        <w:top w:val="none" w:sz="0" w:space="0" w:color="auto"/>
        <w:left w:val="none" w:sz="0" w:space="0" w:color="auto"/>
        <w:bottom w:val="none" w:sz="0" w:space="0" w:color="auto"/>
        <w:right w:val="none" w:sz="0" w:space="0" w:color="auto"/>
      </w:divBdr>
    </w:div>
    <w:div w:id="990794771">
      <w:marLeft w:val="0"/>
      <w:marRight w:val="0"/>
      <w:marTop w:val="0"/>
      <w:marBottom w:val="0"/>
      <w:divBdr>
        <w:top w:val="none" w:sz="0" w:space="0" w:color="auto"/>
        <w:left w:val="none" w:sz="0" w:space="0" w:color="auto"/>
        <w:bottom w:val="none" w:sz="0" w:space="0" w:color="auto"/>
        <w:right w:val="none" w:sz="0" w:space="0" w:color="auto"/>
      </w:divBdr>
      <w:divsChild>
        <w:div w:id="990794808">
          <w:marLeft w:val="0"/>
          <w:marRight w:val="0"/>
          <w:marTop w:val="0"/>
          <w:marBottom w:val="0"/>
          <w:divBdr>
            <w:top w:val="none" w:sz="0" w:space="0" w:color="auto"/>
            <w:left w:val="none" w:sz="0" w:space="0" w:color="auto"/>
            <w:bottom w:val="none" w:sz="0" w:space="0" w:color="auto"/>
            <w:right w:val="none" w:sz="0" w:space="0" w:color="auto"/>
          </w:divBdr>
        </w:div>
      </w:divsChild>
    </w:div>
    <w:div w:id="990794773">
      <w:marLeft w:val="0"/>
      <w:marRight w:val="0"/>
      <w:marTop w:val="0"/>
      <w:marBottom w:val="0"/>
      <w:divBdr>
        <w:top w:val="none" w:sz="0" w:space="0" w:color="auto"/>
        <w:left w:val="none" w:sz="0" w:space="0" w:color="auto"/>
        <w:bottom w:val="none" w:sz="0" w:space="0" w:color="auto"/>
        <w:right w:val="none" w:sz="0" w:space="0" w:color="auto"/>
      </w:divBdr>
    </w:div>
    <w:div w:id="990794775">
      <w:marLeft w:val="0"/>
      <w:marRight w:val="0"/>
      <w:marTop w:val="0"/>
      <w:marBottom w:val="0"/>
      <w:divBdr>
        <w:top w:val="none" w:sz="0" w:space="0" w:color="auto"/>
        <w:left w:val="none" w:sz="0" w:space="0" w:color="auto"/>
        <w:bottom w:val="none" w:sz="0" w:space="0" w:color="auto"/>
        <w:right w:val="none" w:sz="0" w:space="0" w:color="auto"/>
      </w:divBdr>
    </w:div>
    <w:div w:id="990794778">
      <w:marLeft w:val="0"/>
      <w:marRight w:val="0"/>
      <w:marTop w:val="0"/>
      <w:marBottom w:val="0"/>
      <w:divBdr>
        <w:top w:val="none" w:sz="0" w:space="0" w:color="auto"/>
        <w:left w:val="none" w:sz="0" w:space="0" w:color="auto"/>
        <w:bottom w:val="none" w:sz="0" w:space="0" w:color="auto"/>
        <w:right w:val="none" w:sz="0" w:space="0" w:color="auto"/>
      </w:divBdr>
      <w:divsChild>
        <w:div w:id="990794799">
          <w:marLeft w:val="0"/>
          <w:marRight w:val="0"/>
          <w:marTop w:val="0"/>
          <w:marBottom w:val="0"/>
          <w:divBdr>
            <w:top w:val="none" w:sz="0" w:space="0" w:color="auto"/>
            <w:left w:val="none" w:sz="0" w:space="0" w:color="auto"/>
            <w:bottom w:val="none" w:sz="0" w:space="0" w:color="auto"/>
            <w:right w:val="none" w:sz="0" w:space="0" w:color="auto"/>
          </w:divBdr>
        </w:div>
      </w:divsChild>
    </w:div>
    <w:div w:id="990794783">
      <w:marLeft w:val="0"/>
      <w:marRight w:val="0"/>
      <w:marTop w:val="0"/>
      <w:marBottom w:val="0"/>
      <w:divBdr>
        <w:top w:val="none" w:sz="0" w:space="0" w:color="auto"/>
        <w:left w:val="none" w:sz="0" w:space="0" w:color="auto"/>
        <w:bottom w:val="none" w:sz="0" w:space="0" w:color="auto"/>
        <w:right w:val="none" w:sz="0" w:space="0" w:color="auto"/>
      </w:divBdr>
    </w:div>
    <w:div w:id="990794784">
      <w:marLeft w:val="0"/>
      <w:marRight w:val="0"/>
      <w:marTop w:val="0"/>
      <w:marBottom w:val="0"/>
      <w:divBdr>
        <w:top w:val="none" w:sz="0" w:space="0" w:color="auto"/>
        <w:left w:val="none" w:sz="0" w:space="0" w:color="auto"/>
        <w:bottom w:val="none" w:sz="0" w:space="0" w:color="auto"/>
        <w:right w:val="none" w:sz="0" w:space="0" w:color="auto"/>
      </w:divBdr>
      <w:divsChild>
        <w:div w:id="990794755">
          <w:marLeft w:val="0"/>
          <w:marRight w:val="0"/>
          <w:marTop w:val="0"/>
          <w:marBottom w:val="0"/>
          <w:divBdr>
            <w:top w:val="none" w:sz="0" w:space="0" w:color="auto"/>
            <w:left w:val="none" w:sz="0" w:space="0" w:color="auto"/>
            <w:bottom w:val="none" w:sz="0" w:space="0" w:color="auto"/>
            <w:right w:val="none" w:sz="0" w:space="0" w:color="auto"/>
          </w:divBdr>
        </w:div>
      </w:divsChild>
    </w:div>
    <w:div w:id="990794786">
      <w:marLeft w:val="0"/>
      <w:marRight w:val="0"/>
      <w:marTop w:val="0"/>
      <w:marBottom w:val="0"/>
      <w:divBdr>
        <w:top w:val="none" w:sz="0" w:space="0" w:color="auto"/>
        <w:left w:val="none" w:sz="0" w:space="0" w:color="auto"/>
        <w:bottom w:val="none" w:sz="0" w:space="0" w:color="auto"/>
        <w:right w:val="none" w:sz="0" w:space="0" w:color="auto"/>
      </w:divBdr>
    </w:div>
    <w:div w:id="990794787">
      <w:marLeft w:val="0"/>
      <w:marRight w:val="0"/>
      <w:marTop w:val="0"/>
      <w:marBottom w:val="0"/>
      <w:divBdr>
        <w:top w:val="none" w:sz="0" w:space="0" w:color="auto"/>
        <w:left w:val="none" w:sz="0" w:space="0" w:color="auto"/>
        <w:bottom w:val="none" w:sz="0" w:space="0" w:color="auto"/>
        <w:right w:val="none" w:sz="0" w:space="0" w:color="auto"/>
      </w:divBdr>
      <w:divsChild>
        <w:div w:id="990794749">
          <w:marLeft w:val="0"/>
          <w:marRight w:val="0"/>
          <w:marTop w:val="0"/>
          <w:marBottom w:val="0"/>
          <w:divBdr>
            <w:top w:val="none" w:sz="0" w:space="0" w:color="auto"/>
            <w:left w:val="none" w:sz="0" w:space="0" w:color="auto"/>
            <w:bottom w:val="none" w:sz="0" w:space="0" w:color="auto"/>
            <w:right w:val="none" w:sz="0" w:space="0" w:color="auto"/>
          </w:divBdr>
        </w:div>
      </w:divsChild>
    </w:div>
    <w:div w:id="990794788">
      <w:marLeft w:val="0"/>
      <w:marRight w:val="0"/>
      <w:marTop w:val="0"/>
      <w:marBottom w:val="0"/>
      <w:divBdr>
        <w:top w:val="none" w:sz="0" w:space="0" w:color="auto"/>
        <w:left w:val="none" w:sz="0" w:space="0" w:color="auto"/>
        <w:bottom w:val="none" w:sz="0" w:space="0" w:color="auto"/>
        <w:right w:val="none" w:sz="0" w:space="0" w:color="auto"/>
      </w:divBdr>
    </w:div>
    <w:div w:id="990794789">
      <w:marLeft w:val="0"/>
      <w:marRight w:val="0"/>
      <w:marTop w:val="0"/>
      <w:marBottom w:val="0"/>
      <w:divBdr>
        <w:top w:val="none" w:sz="0" w:space="0" w:color="auto"/>
        <w:left w:val="none" w:sz="0" w:space="0" w:color="auto"/>
        <w:bottom w:val="none" w:sz="0" w:space="0" w:color="auto"/>
        <w:right w:val="none" w:sz="0" w:space="0" w:color="auto"/>
      </w:divBdr>
      <w:divsChild>
        <w:div w:id="990794785">
          <w:marLeft w:val="0"/>
          <w:marRight w:val="0"/>
          <w:marTop w:val="0"/>
          <w:marBottom w:val="0"/>
          <w:divBdr>
            <w:top w:val="none" w:sz="0" w:space="0" w:color="auto"/>
            <w:left w:val="none" w:sz="0" w:space="0" w:color="auto"/>
            <w:bottom w:val="none" w:sz="0" w:space="0" w:color="auto"/>
            <w:right w:val="none" w:sz="0" w:space="0" w:color="auto"/>
          </w:divBdr>
        </w:div>
      </w:divsChild>
    </w:div>
    <w:div w:id="990794791">
      <w:marLeft w:val="0"/>
      <w:marRight w:val="0"/>
      <w:marTop w:val="0"/>
      <w:marBottom w:val="0"/>
      <w:divBdr>
        <w:top w:val="none" w:sz="0" w:space="0" w:color="auto"/>
        <w:left w:val="none" w:sz="0" w:space="0" w:color="auto"/>
        <w:bottom w:val="none" w:sz="0" w:space="0" w:color="auto"/>
        <w:right w:val="none" w:sz="0" w:space="0" w:color="auto"/>
      </w:divBdr>
    </w:div>
    <w:div w:id="990794792">
      <w:marLeft w:val="0"/>
      <w:marRight w:val="0"/>
      <w:marTop w:val="0"/>
      <w:marBottom w:val="0"/>
      <w:divBdr>
        <w:top w:val="none" w:sz="0" w:space="0" w:color="auto"/>
        <w:left w:val="none" w:sz="0" w:space="0" w:color="auto"/>
        <w:bottom w:val="none" w:sz="0" w:space="0" w:color="auto"/>
        <w:right w:val="none" w:sz="0" w:space="0" w:color="auto"/>
      </w:divBdr>
      <w:divsChild>
        <w:div w:id="990794756">
          <w:marLeft w:val="720"/>
          <w:marRight w:val="0"/>
          <w:marTop w:val="0"/>
          <w:marBottom w:val="0"/>
          <w:divBdr>
            <w:top w:val="none" w:sz="0" w:space="0" w:color="auto"/>
            <w:left w:val="none" w:sz="0" w:space="0" w:color="auto"/>
            <w:bottom w:val="none" w:sz="0" w:space="0" w:color="auto"/>
            <w:right w:val="none" w:sz="0" w:space="0" w:color="auto"/>
          </w:divBdr>
        </w:div>
        <w:div w:id="990794764">
          <w:marLeft w:val="1886"/>
          <w:marRight w:val="0"/>
          <w:marTop w:val="0"/>
          <w:marBottom w:val="0"/>
          <w:divBdr>
            <w:top w:val="none" w:sz="0" w:space="0" w:color="auto"/>
            <w:left w:val="none" w:sz="0" w:space="0" w:color="auto"/>
            <w:bottom w:val="none" w:sz="0" w:space="0" w:color="auto"/>
            <w:right w:val="none" w:sz="0" w:space="0" w:color="auto"/>
          </w:divBdr>
        </w:div>
        <w:div w:id="990794765">
          <w:marLeft w:val="1886"/>
          <w:marRight w:val="0"/>
          <w:marTop w:val="0"/>
          <w:marBottom w:val="0"/>
          <w:divBdr>
            <w:top w:val="none" w:sz="0" w:space="0" w:color="auto"/>
            <w:left w:val="none" w:sz="0" w:space="0" w:color="auto"/>
            <w:bottom w:val="none" w:sz="0" w:space="0" w:color="auto"/>
            <w:right w:val="none" w:sz="0" w:space="0" w:color="auto"/>
          </w:divBdr>
        </w:div>
        <w:div w:id="990794796">
          <w:marLeft w:val="1886"/>
          <w:marRight w:val="0"/>
          <w:marTop w:val="0"/>
          <w:marBottom w:val="0"/>
          <w:divBdr>
            <w:top w:val="none" w:sz="0" w:space="0" w:color="auto"/>
            <w:left w:val="none" w:sz="0" w:space="0" w:color="auto"/>
            <w:bottom w:val="none" w:sz="0" w:space="0" w:color="auto"/>
            <w:right w:val="none" w:sz="0" w:space="0" w:color="auto"/>
          </w:divBdr>
        </w:div>
        <w:div w:id="990794813">
          <w:marLeft w:val="1886"/>
          <w:marRight w:val="0"/>
          <w:marTop w:val="0"/>
          <w:marBottom w:val="0"/>
          <w:divBdr>
            <w:top w:val="none" w:sz="0" w:space="0" w:color="auto"/>
            <w:left w:val="none" w:sz="0" w:space="0" w:color="auto"/>
            <w:bottom w:val="none" w:sz="0" w:space="0" w:color="auto"/>
            <w:right w:val="none" w:sz="0" w:space="0" w:color="auto"/>
          </w:divBdr>
        </w:div>
        <w:div w:id="990794828">
          <w:marLeft w:val="720"/>
          <w:marRight w:val="0"/>
          <w:marTop w:val="0"/>
          <w:marBottom w:val="0"/>
          <w:divBdr>
            <w:top w:val="none" w:sz="0" w:space="0" w:color="auto"/>
            <w:left w:val="none" w:sz="0" w:space="0" w:color="auto"/>
            <w:bottom w:val="none" w:sz="0" w:space="0" w:color="auto"/>
            <w:right w:val="none" w:sz="0" w:space="0" w:color="auto"/>
          </w:divBdr>
        </w:div>
      </w:divsChild>
    </w:div>
    <w:div w:id="990794797">
      <w:marLeft w:val="0"/>
      <w:marRight w:val="0"/>
      <w:marTop w:val="0"/>
      <w:marBottom w:val="0"/>
      <w:divBdr>
        <w:top w:val="none" w:sz="0" w:space="0" w:color="auto"/>
        <w:left w:val="none" w:sz="0" w:space="0" w:color="auto"/>
        <w:bottom w:val="none" w:sz="0" w:space="0" w:color="auto"/>
        <w:right w:val="none" w:sz="0" w:space="0" w:color="auto"/>
      </w:divBdr>
    </w:div>
    <w:div w:id="990794800">
      <w:marLeft w:val="0"/>
      <w:marRight w:val="0"/>
      <w:marTop w:val="0"/>
      <w:marBottom w:val="0"/>
      <w:divBdr>
        <w:top w:val="none" w:sz="0" w:space="0" w:color="auto"/>
        <w:left w:val="none" w:sz="0" w:space="0" w:color="auto"/>
        <w:bottom w:val="none" w:sz="0" w:space="0" w:color="auto"/>
        <w:right w:val="none" w:sz="0" w:space="0" w:color="auto"/>
      </w:divBdr>
      <w:divsChild>
        <w:div w:id="990794745">
          <w:marLeft w:val="1166"/>
          <w:marRight w:val="0"/>
          <w:marTop w:val="0"/>
          <w:marBottom w:val="0"/>
          <w:divBdr>
            <w:top w:val="none" w:sz="0" w:space="0" w:color="auto"/>
            <w:left w:val="none" w:sz="0" w:space="0" w:color="auto"/>
            <w:bottom w:val="none" w:sz="0" w:space="0" w:color="auto"/>
            <w:right w:val="none" w:sz="0" w:space="0" w:color="auto"/>
          </w:divBdr>
        </w:div>
      </w:divsChild>
    </w:div>
    <w:div w:id="990794801">
      <w:marLeft w:val="0"/>
      <w:marRight w:val="0"/>
      <w:marTop w:val="0"/>
      <w:marBottom w:val="0"/>
      <w:divBdr>
        <w:top w:val="none" w:sz="0" w:space="0" w:color="auto"/>
        <w:left w:val="none" w:sz="0" w:space="0" w:color="auto"/>
        <w:bottom w:val="none" w:sz="0" w:space="0" w:color="auto"/>
        <w:right w:val="none" w:sz="0" w:space="0" w:color="auto"/>
      </w:divBdr>
      <w:divsChild>
        <w:div w:id="990794809">
          <w:marLeft w:val="1354"/>
          <w:marRight w:val="0"/>
          <w:marTop w:val="0"/>
          <w:marBottom w:val="0"/>
          <w:divBdr>
            <w:top w:val="none" w:sz="0" w:space="0" w:color="auto"/>
            <w:left w:val="none" w:sz="0" w:space="0" w:color="auto"/>
            <w:bottom w:val="none" w:sz="0" w:space="0" w:color="auto"/>
            <w:right w:val="none" w:sz="0" w:space="0" w:color="auto"/>
          </w:divBdr>
        </w:div>
      </w:divsChild>
    </w:div>
    <w:div w:id="990794802">
      <w:marLeft w:val="0"/>
      <w:marRight w:val="0"/>
      <w:marTop w:val="0"/>
      <w:marBottom w:val="0"/>
      <w:divBdr>
        <w:top w:val="none" w:sz="0" w:space="0" w:color="auto"/>
        <w:left w:val="none" w:sz="0" w:space="0" w:color="auto"/>
        <w:bottom w:val="none" w:sz="0" w:space="0" w:color="auto"/>
        <w:right w:val="none" w:sz="0" w:space="0" w:color="auto"/>
      </w:divBdr>
      <w:divsChild>
        <w:div w:id="990794736">
          <w:marLeft w:val="1166"/>
          <w:marRight w:val="0"/>
          <w:marTop w:val="0"/>
          <w:marBottom w:val="0"/>
          <w:divBdr>
            <w:top w:val="none" w:sz="0" w:space="0" w:color="auto"/>
            <w:left w:val="none" w:sz="0" w:space="0" w:color="auto"/>
            <w:bottom w:val="none" w:sz="0" w:space="0" w:color="auto"/>
            <w:right w:val="none" w:sz="0" w:space="0" w:color="auto"/>
          </w:divBdr>
        </w:div>
        <w:div w:id="990794740">
          <w:marLeft w:val="1166"/>
          <w:marRight w:val="0"/>
          <w:marTop w:val="0"/>
          <w:marBottom w:val="0"/>
          <w:divBdr>
            <w:top w:val="none" w:sz="0" w:space="0" w:color="auto"/>
            <w:left w:val="none" w:sz="0" w:space="0" w:color="auto"/>
            <w:bottom w:val="none" w:sz="0" w:space="0" w:color="auto"/>
            <w:right w:val="none" w:sz="0" w:space="0" w:color="auto"/>
          </w:divBdr>
        </w:div>
        <w:div w:id="990794746">
          <w:marLeft w:val="1166"/>
          <w:marRight w:val="0"/>
          <w:marTop w:val="0"/>
          <w:marBottom w:val="0"/>
          <w:divBdr>
            <w:top w:val="none" w:sz="0" w:space="0" w:color="auto"/>
            <w:left w:val="none" w:sz="0" w:space="0" w:color="auto"/>
            <w:bottom w:val="none" w:sz="0" w:space="0" w:color="auto"/>
            <w:right w:val="none" w:sz="0" w:space="0" w:color="auto"/>
          </w:divBdr>
        </w:div>
        <w:div w:id="990794762">
          <w:marLeft w:val="1166"/>
          <w:marRight w:val="0"/>
          <w:marTop w:val="0"/>
          <w:marBottom w:val="0"/>
          <w:divBdr>
            <w:top w:val="none" w:sz="0" w:space="0" w:color="auto"/>
            <w:left w:val="none" w:sz="0" w:space="0" w:color="auto"/>
            <w:bottom w:val="none" w:sz="0" w:space="0" w:color="auto"/>
            <w:right w:val="none" w:sz="0" w:space="0" w:color="auto"/>
          </w:divBdr>
        </w:div>
        <w:div w:id="990794793">
          <w:marLeft w:val="1166"/>
          <w:marRight w:val="0"/>
          <w:marTop w:val="0"/>
          <w:marBottom w:val="0"/>
          <w:divBdr>
            <w:top w:val="none" w:sz="0" w:space="0" w:color="auto"/>
            <w:left w:val="none" w:sz="0" w:space="0" w:color="auto"/>
            <w:bottom w:val="none" w:sz="0" w:space="0" w:color="auto"/>
            <w:right w:val="none" w:sz="0" w:space="0" w:color="auto"/>
          </w:divBdr>
        </w:div>
        <w:div w:id="990794805">
          <w:marLeft w:val="1166"/>
          <w:marRight w:val="0"/>
          <w:marTop w:val="0"/>
          <w:marBottom w:val="0"/>
          <w:divBdr>
            <w:top w:val="none" w:sz="0" w:space="0" w:color="auto"/>
            <w:left w:val="none" w:sz="0" w:space="0" w:color="auto"/>
            <w:bottom w:val="none" w:sz="0" w:space="0" w:color="auto"/>
            <w:right w:val="none" w:sz="0" w:space="0" w:color="auto"/>
          </w:divBdr>
        </w:div>
        <w:div w:id="990794816">
          <w:marLeft w:val="1166"/>
          <w:marRight w:val="0"/>
          <w:marTop w:val="0"/>
          <w:marBottom w:val="0"/>
          <w:divBdr>
            <w:top w:val="none" w:sz="0" w:space="0" w:color="auto"/>
            <w:left w:val="none" w:sz="0" w:space="0" w:color="auto"/>
            <w:bottom w:val="none" w:sz="0" w:space="0" w:color="auto"/>
            <w:right w:val="none" w:sz="0" w:space="0" w:color="auto"/>
          </w:divBdr>
        </w:div>
        <w:div w:id="990794823">
          <w:marLeft w:val="1166"/>
          <w:marRight w:val="0"/>
          <w:marTop w:val="0"/>
          <w:marBottom w:val="0"/>
          <w:divBdr>
            <w:top w:val="none" w:sz="0" w:space="0" w:color="auto"/>
            <w:left w:val="none" w:sz="0" w:space="0" w:color="auto"/>
            <w:bottom w:val="none" w:sz="0" w:space="0" w:color="auto"/>
            <w:right w:val="none" w:sz="0" w:space="0" w:color="auto"/>
          </w:divBdr>
        </w:div>
        <w:div w:id="990794825">
          <w:marLeft w:val="1166"/>
          <w:marRight w:val="0"/>
          <w:marTop w:val="0"/>
          <w:marBottom w:val="0"/>
          <w:divBdr>
            <w:top w:val="none" w:sz="0" w:space="0" w:color="auto"/>
            <w:left w:val="none" w:sz="0" w:space="0" w:color="auto"/>
            <w:bottom w:val="none" w:sz="0" w:space="0" w:color="auto"/>
            <w:right w:val="none" w:sz="0" w:space="0" w:color="auto"/>
          </w:divBdr>
        </w:div>
        <w:div w:id="990794829">
          <w:marLeft w:val="1166"/>
          <w:marRight w:val="0"/>
          <w:marTop w:val="0"/>
          <w:marBottom w:val="0"/>
          <w:divBdr>
            <w:top w:val="none" w:sz="0" w:space="0" w:color="auto"/>
            <w:left w:val="none" w:sz="0" w:space="0" w:color="auto"/>
            <w:bottom w:val="none" w:sz="0" w:space="0" w:color="auto"/>
            <w:right w:val="none" w:sz="0" w:space="0" w:color="auto"/>
          </w:divBdr>
        </w:div>
      </w:divsChild>
    </w:div>
    <w:div w:id="990794804">
      <w:marLeft w:val="0"/>
      <w:marRight w:val="0"/>
      <w:marTop w:val="0"/>
      <w:marBottom w:val="0"/>
      <w:divBdr>
        <w:top w:val="none" w:sz="0" w:space="0" w:color="auto"/>
        <w:left w:val="none" w:sz="0" w:space="0" w:color="auto"/>
        <w:bottom w:val="none" w:sz="0" w:space="0" w:color="auto"/>
        <w:right w:val="none" w:sz="0" w:space="0" w:color="auto"/>
      </w:divBdr>
    </w:div>
    <w:div w:id="990794807">
      <w:marLeft w:val="0"/>
      <w:marRight w:val="0"/>
      <w:marTop w:val="0"/>
      <w:marBottom w:val="0"/>
      <w:divBdr>
        <w:top w:val="none" w:sz="0" w:space="0" w:color="auto"/>
        <w:left w:val="none" w:sz="0" w:space="0" w:color="auto"/>
        <w:bottom w:val="none" w:sz="0" w:space="0" w:color="auto"/>
        <w:right w:val="none" w:sz="0" w:space="0" w:color="auto"/>
      </w:divBdr>
      <w:divsChild>
        <w:div w:id="990794729">
          <w:marLeft w:val="1267"/>
          <w:marRight w:val="0"/>
          <w:marTop w:val="0"/>
          <w:marBottom w:val="0"/>
          <w:divBdr>
            <w:top w:val="none" w:sz="0" w:space="0" w:color="auto"/>
            <w:left w:val="none" w:sz="0" w:space="0" w:color="auto"/>
            <w:bottom w:val="none" w:sz="0" w:space="0" w:color="auto"/>
            <w:right w:val="none" w:sz="0" w:space="0" w:color="auto"/>
          </w:divBdr>
        </w:div>
        <w:div w:id="990794732">
          <w:marLeft w:val="1267"/>
          <w:marRight w:val="0"/>
          <w:marTop w:val="0"/>
          <w:marBottom w:val="0"/>
          <w:divBdr>
            <w:top w:val="none" w:sz="0" w:space="0" w:color="auto"/>
            <w:left w:val="none" w:sz="0" w:space="0" w:color="auto"/>
            <w:bottom w:val="none" w:sz="0" w:space="0" w:color="auto"/>
            <w:right w:val="none" w:sz="0" w:space="0" w:color="auto"/>
          </w:divBdr>
        </w:div>
        <w:div w:id="990794739">
          <w:marLeft w:val="547"/>
          <w:marRight w:val="0"/>
          <w:marTop w:val="0"/>
          <w:marBottom w:val="0"/>
          <w:divBdr>
            <w:top w:val="none" w:sz="0" w:space="0" w:color="auto"/>
            <w:left w:val="none" w:sz="0" w:space="0" w:color="auto"/>
            <w:bottom w:val="none" w:sz="0" w:space="0" w:color="auto"/>
            <w:right w:val="none" w:sz="0" w:space="0" w:color="auto"/>
          </w:divBdr>
        </w:div>
        <w:div w:id="990794777">
          <w:marLeft w:val="1267"/>
          <w:marRight w:val="0"/>
          <w:marTop w:val="0"/>
          <w:marBottom w:val="0"/>
          <w:divBdr>
            <w:top w:val="none" w:sz="0" w:space="0" w:color="auto"/>
            <w:left w:val="none" w:sz="0" w:space="0" w:color="auto"/>
            <w:bottom w:val="none" w:sz="0" w:space="0" w:color="auto"/>
            <w:right w:val="none" w:sz="0" w:space="0" w:color="auto"/>
          </w:divBdr>
        </w:div>
        <w:div w:id="990794782">
          <w:marLeft w:val="1267"/>
          <w:marRight w:val="0"/>
          <w:marTop w:val="0"/>
          <w:marBottom w:val="0"/>
          <w:divBdr>
            <w:top w:val="none" w:sz="0" w:space="0" w:color="auto"/>
            <w:left w:val="none" w:sz="0" w:space="0" w:color="auto"/>
            <w:bottom w:val="none" w:sz="0" w:space="0" w:color="auto"/>
            <w:right w:val="none" w:sz="0" w:space="0" w:color="auto"/>
          </w:divBdr>
        </w:div>
        <w:div w:id="990794819">
          <w:marLeft w:val="547"/>
          <w:marRight w:val="0"/>
          <w:marTop w:val="0"/>
          <w:marBottom w:val="0"/>
          <w:divBdr>
            <w:top w:val="none" w:sz="0" w:space="0" w:color="auto"/>
            <w:left w:val="none" w:sz="0" w:space="0" w:color="auto"/>
            <w:bottom w:val="none" w:sz="0" w:space="0" w:color="auto"/>
            <w:right w:val="none" w:sz="0" w:space="0" w:color="auto"/>
          </w:divBdr>
        </w:div>
        <w:div w:id="990794833">
          <w:marLeft w:val="547"/>
          <w:marRight w:val="0"/>
          <w:marTop w:val="0"/>
          <w:marBottom w:val="0"/>
          <w:divBdr>
            <w:top w:val="none" w:sz="0" w:space="0" w:color="auto"/>
            <w:left w:val="none" w:sz="0" w:space="0" w:color="auto"/>
            <w:bottom w:val="none" w:sz="0" w:space="0" w:color="auto"/>
            <w:right w:val="none" w:sz="0" w:space="0" w:color="auto"/>
          </w:divBdr>
        </w:div>
      </w:divsChild>
    </w:div>
    <w:div w:id="990794811">
      <w:marLeft w:val="0"/>
      <w:marRight w:val="0"/>
      <w:marTop w:val="0"/>
      <w:marBottom w:val="0"/>
      <w:divBdr>
        <w:top w:val="none" w:sz="0" w:space="0" w:color="auto"/>
        <w:left w:val="none" w:sz="0" w:space="0" w:color="auto"/>
        <w:bottom w:val="none" w:sz="0" w:space="0" w:color="auto"/>
        <w:right w:val="none" w:sz="0" w:space="0" w:color="auto"/>
      </w:divBdr>
      <w:divsChild>
        <w:div w:id="990794779">
          <w:marLeft w:val="0"/>
          <w:marRight w:val="0"/>
          <w:marTop w:val="0"/>
          <w:marBottom w:val="0"/>
          <w:divBdr>
            <w:top w:val="none" w:sz="0" w:space="0" w:color="auto"/>
            <w:left w:val="none" w:sz="0" w:space="0" w:color="auto"/>
            <w:bottom w:val="none" w:sz="0" w:space="0" w:color="auto"/>
            <w:right w:val="none" w:sz="0" w:space="0" w:color="auto"/>
          </w:divBdr>
        </w:div>
      </w:divsChild>
    </w:div>
    <w:div w:id="990794812">
      <w:marLeft w:val="0"/>
      <w:marRight w:val="0"/>
      <w:marTop w:val="0"/>
      <w:marBottom w:val="0"/>
      <w:divBdr>
        <w:top w:val="none" w:sz="0" w:space="0" w:color="auto"/>
        <w:left w:val="none" w:sz="0" w:space="0" w:color="auto"/>
        <w:bottom w:val="none" w:sz="0" w:space="0" w:color="auto"/>
        <w:right w:val="none" w:sz="0" w:space="0" w:color="auto"/>
      </w:divBdr>
      <w:divsChild>
        <w:div w:id="990794741">
          <w:marLeft w:val="720"/>
          <w:marRight w:val="0"/>
          <w:marTop w:val="0"/>
          <w:marBottom w:val="0"/>
          <w:divBdr>
            <w:top w:val="none" w:sz="0" w:space="0" w:color="auto"/>
            <w:left w:val="none" w:sz="0" w:space="0" w:color="auto"/>
            <w:bottom w:val="none" w:sz="0" w:space="0" w:color="auto"/>
            <w:right w:val="none" w:sz="0" w:space="0" w:color="auto"/>
          </w:divBdr>
        </w:div>
        <w:div w:id="990794803">
          <w:marLeft w:val="720"/>
          <w:marRight w:val="0"/>
          <w:marTop w:val="0"/>
          <w:marBottom w:val="0"/>
          <w:divBdr>
            <w:top w:val="none" w:sz="0" w:space="0" w:color="auto"/>
            <w:left w:val="none" w:sz="0" w:space="0" w:color="auto"/>
            <w:bottom w:val="none" w:sz="0" w:space="0" w:color="auto"/>
            <w:right w:val="none" w:sz="0" w:space="0" w:color="auto"/>
          </w:divBdr>
        </w:div>
        <w:div w:id="990794817">
          <w:marLeft w:val="720"/>
          <w:marRight w:val="0"/>
          <w:marTop w:val="0"/>
          <w:marBottom w:val="0"/>
          <w:divBdr>
            <w:top w:val="none" w:sz="0" w:space="0" w:color="auto"/>
            <w:left w:val="none" w:sz="0" w:space="0" w:color="auto"/>
            <w:bottom w:val="none" w:sz="0" w:space="0" w:color="auto"/>
            <w:right w:val="none" w:sz="0" w:space="0" w:color="auto"/>
          </w:divBdr>
        </w:div>
      </w:divsChild>
    </w:div>
    <w:div w:id="990794815">
      <w:marLeft w:val="0"/>
      <w:marRight w:val="0"/>
      <w:marTop w:val="0"/>
      <w:marBottom w:val="0"/>
      <w:divBdr>
        <w:top w:val="none" w:sz="0" w:space="0" w:color="auto"/>
        <w:left w:val="none" w:sz="0" w:space="0" w:color="auto"/>
        <w:bottom w:val="none" w:sz="0" w:space="0" w:color="auto"/>
        <w:right w:val="none" w:sz="0" w:space="0" w:color="auto"/>
      </w:divBdr>
    </w:div>
    <w:div w:id="990794818">
      <w:marLeft w:val="0"/>
      <w:marRight w:val="0"/>
      <w:marTop w:val="0"/>
      <w:marBottom w:val="0"/>
      <w:divBdr>
        <w:top w:val="none" w:sz="0" w:space="0" w:color="auto"/>
        <w:left w:val="none" w:sz="0" w:space="0" w:color="auto"/>
        <w:bottom w:val="none" w:sz="0" w:space="0" w:color="auto"/>
        <w:right w:val="none" w:sz="0" w:space="0" w:color="auto"/>
      </w:divBdr>
    </w:div>
    <w:div w:id="990794821">
      <w:marLeft w:val="0"/>
      <w:marRight w:val="0"/>
      <w:marTop w:val="0"/>
      <w:marBottom w:val="0"/>
      <w:divBdr>
        <w:top w:val="none" w:sz="0" w:space="0" w:color="auto"/>
        <w:left w:val="none" w:sz="0" w:space="0" w:color="auto"/>
        <w:bottom w:val="none" w:sz="0" w:space="0" w:color="auto"/>
        <w:right w:val="none" w:sz="0" w:space="0" w:color="auto"/>
      </w:divBdr>
      <w:divsChild>
        <w:div w:id="990794726">
          <w:marLeft w:val="547"/>
          <w:marRight w:val="0"/>
          <w:marTop w:val="0"/>
          <w:marBottom w:val="0"/>
          <w:divBdr>
            <w:top w:val="none" w:sz="0" w:space="0" w:color="auto"/>
            <w:left w:val="none" w:sz="0" w:space="0" w:color="auto"/>
            <w:bottom w:val="none" w:sz="0" w:space="0" w:color="auto"/>
            <w:right w:val="none" w:sz="0" w:space="0" w:color="auto"/>
          </w:divBdr>
        </w:div>
      </w:divsChild>
    </w:div>
    <w:div w:id="990794822">
      <w:marLeft w:val="0"/>
      <w:marRight w:val="0"/>
      <w:marTop w:val="0"/>
      <w:marBottom w:val="0"/>
      <w:divBdr>
        <w:top w:val="none" w:sz="0" w:space="0" w:color="auto"/>
        <w:left w:val="none" w:sz="0" w:space="0" w:color="auto"/>
        <w:bottom w:val="none" w:sz="0" w:space="0" w:color="auto"/>
        <w:right w:val="none" w:sz="0" w:space="0" w:color="auto"/>
      </w:divBdr>
    </w:div>
    <w:div w:id="990794826">
      <w:marLeft w:val="0"/>
      <w:marRight w:val="0"/>
      <w:marTop w:val="0"/>
      <w:marBottom w:val="0"/>
      <w:divBdr>
        <w:top w:val="none" w:sz="0" w:space="0" w:color="auto"/>
        <w:left w:val="none" w:sz="0" w:space="0" w:color="auto"/>
        <w:bottom w:val="none" w:sz="0" w:space="0" w:color="auto"/>
        <w:right w:val="none" w:sz="0" w:space="0" w:color="auto"/>
      </w:divBdr>
    </w:div>
    <w:div w:id="990794832">
      <w:marLeft w:val="0"/>
      <w:marRight w:val="0"/>
      <w:marTop w:val="0"/>
      <w:marBottom w:val="0"/>
      <w:divBdr>
        <w:top w:val="none" w:sz="0" w:space="0" w:color="auto"/>
        <w:left w:val="none" w:sz="0" w:space="0" w:color="auto"/>
        <w:bottom w:val="none" w:sz="0" w:space="0" w:color="auto"/>
        <w:right w:val="none" w:sz="0" w:space="0" w:color="auto"/>
      </w:divBdr>
    </w:div>
    <w:div w:id="990794835">
      <w:marLeft w:val="0"/>
      <w:marRight w:val="0"/>
      <w:marTop w:val="0"/>
      <w:marBottom w:val="0"/>
      <w:divBdr>
        <w:top w:val="none" w:sz="0" w:space="0" w:color="auto"/>
        <w:left w:val="none" w:sz="0" w:space="0" w:color="auto"/>
        <w:bottom w:val="none" w:sz="0" w:space="0" w:color="auto"/>
        <w:right w:val="none" w:sz="0" w:space="0" w:color="auto"/>
      </w:divBdr>
      <w:divsChild>
        <w:div w:id="990794734">
          <w:marLeft w:val="720"/>
          <w:marRight w:val="0"/>
          <w:marTop w:val="0"/>
          <w:marBottom w:val="0"/>
          <w:divBdr>
            <w:top w:val="none" w:sz="0" w:space="0" w:color="auto"/>
            <w:left w:val="none" w:sz="0" w:space="0" w:color="auto"/>
            <w:bottom w:val="none" w:sz="0" w:space="0" w:color="auto"/>
            <w:right w:val="none" w:sz="0" w:space="0" w:color="auto"/>
          </w:divBdr>
        </w:div>
        <w:div w:id="990794735">
          <w:marLeft w:val="720"/>
          <w:marRight w:val="0"/>
          <w:marTop w:val="0"/>
          <w:marBottom w:val="0"/>
          <w:divBdr>
            <w:top w:val="none" w:sz="0" w:space="0" w:color="auto"/>
            <w:left w:val="none" w:sz="0" w:space="0" w:color="auto"/>
            <w:bottom w:val="none" w:sz="0" w:space="0" w:color="auto"/>
            <w:right w:val="none" w:sz="0" w:space="0" w:color="auto"/>
          </w:divBdr>
        </w:div>
        <w:div w:id="990794743">
          <w:marLeft w:val="720"/>
          <w:marRight w:val="0"/>
          <w:marTop w:val="0"/>
          <w:marBottom w:val="0"/>
          <w:divBdr>
            <w:top w:val="none" w:sz="0" w:space="0" w:color="auto"/>
            <w:left w:val="none" w:sz="0" w:space="0" w:color="auto"/>
            <w:bottom w:val="none" w:sz="0" w:space="0" w:color="auto"/>
            <w:right w:val="none" w:sz="0" w:space="0" w:color="auto"/>
          </w:divBdr>
        </w:div>
        <w:div w:id="990794744">
          <w:marLeft w:val="720"/>
          <w:marRight w:val="0"/>
          <w:marTop w:val="0"/>
          <w:marBottom w:val="0"/>
          <w:divBdr>
            <w:top w:val="none" w:sz="0" w:space="0" w:color="auto"/>
            <w:left w:val="none" w:sz="0" w:space="0" w:color="auto"/>
            <w:bottom w:val="none" w:sz="0" w:space="0" w:color="auto"/>
            <w:right w:val="none" w:sz="0" w:space="0" w:color="auto"/>
          </w:divBdr>
        </w:div>
        <w:div w:id="990794776">
          <w:marLeft w:val="720"/>
          <w:marRight w:val="0"/>
          <w:marTop w:val="0"/>
          <w:marBottom w:val="0"/>
          <w:divBdr>
            <w:top w:val="none" w:sz="0" w:space="0" w:color="auto"/>
            <w:left w:val="none" w:sz="0" w:space="0" w:color="auto"/>
            <w:bottom w:val="none" w:sz="0" w:space="0" w:color="auto"/>
            <w:right w:val="none" w:sz="0" w:space="0" w:color="auto"/>
          </w:divBdr>
        </w:div>
        <w:div w:id="990794794">
          <w:marLeft w:val="720"/>
          <w:marRight w:val="0"/>
          <w:marTop w:val="0"/>
          <w:marBottom w:val="0"/>
          <w:divBdr>
            <w:top w:val="none" w:sz="0" w:space="0" w:color="auto"/>
            <w:left w:val="none" w:sz="0" w:space="0" w:color="auto"/>
            <w:bottom w:val="none" w:sz="0" w:space="0" w:color="auto"/>
            <w:right w:val="none" w:sz="0" w:space="0" w:color="auto"/>
          </w:divBdr>
        </w:div>
      </w:divsChild>
    </w:div>
    <w:div w:id="990794836">
      <w:marLeft w:val="0"/>
      <w:marRight w:val="0"/>
      <w:marTop w:val="0"/>
      <w:marBottom w:val="0"/>
      <w:divBdr>
        <w:top w:val="none" w:sz="0" w:space="0" w:color="auto"/>
        <w:left w:val="none" w:sz="0" w:space="0" w:color="auto"/>
        <w:bottom w:val="none" w:sz="0" w:space="0" w:color="auto"/>
        <w:right w:val="none" w:sz="0" w:space="0" w:color="auto"/>
      </w:divBdr>
      <w:divsChild>
        <w:div w:id="990794730">
          <w:marLeft w:val="0"/>
          <w:marRight w:val="0"/>
          <w:marTop w:val="0"/>
          <w:marBottom w:val="0"/>
          <w:divBdr>
            <w:top w:val="none" w:sz="0" w:space="0" w:color="auto"/>
            <w:left w:val="none" w:sz="0" w:space="0" w:color="auto"/>
            <w:bottom w:val="none" w:sz="0" w:space="0" w:color="auto"/>
            <w:right w:val="none" w:sz="0" w:space="0" w:color="auto"/>
          </w:divBdr>
        </w:div>
        <w:div w:id="990794731">
          <w:marLeft w:val="0"/>
          <w:marRight w:val="0"/>
          <w:marTop w:val="0"/>
          <w:marBottom w:val="0"/>
          <w:divBdr>
            <w:top w:val="none" w:sz="0" w:space="0" w:color="auto"/>
            <w:left w:val="none" w:sz="0" w:space="0" w:color="auto"/>
            <w:bottom w:val="none" w:sz="0" w:space="0" w:color="auto"/>
            <w:right w:val="none" w:sz="0" w:space="0" w:color="auto"/>
          </w:divBdr>
        </w:div>
        <w:div w:id="990794760">
          <w:marLeft w:val="0"/>
          <w:marRight w:val="0"/>
          <w:marTop w:val="0"/>
          <w:marBottom w:val="0"/>
          <w:divBdr>
            <w:top w:val="none" w:sz="0" w:space="0" w:color="auto"/>
            <w:left w:val="none" w:sz="0" w:space="0" w:color="auto"/>
            <w:bottom w:val="none" w:sz="0" w:space="0" w:color="auto"/>
            <w:right w:val="none" w:sz="0" w:space="0" w:color="auto"/>
          </w:divBdr>
        </w:div>
        <w:div w:id="99079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edh.eu/plugins/fckeditor/userfiles/file/Asile%20et%20immigration/Study_of_European_Parliament_about_detention_and_enferment_in_Europe.pdf" TargetMode="External"/><Relationship Id="rId18" Type="http://schemas.openxmlformats.org/officeDocument/2006/relationships/hyperlink" Target="http://fra.europa.eu/sites/default/files/fra_uploads/1771-FRA-2011-fundamental-rights-for-irregular-migrants-healthcare_EN.pdf" TargetMode="External"/><Relationship Id="rId26" Type="http://schemas.openxmlformats.org/officeDocument/2006/relationships/hyperlink" Target="http://www.doktersvandewereld.be/sites/www.doktersvandewereld.be/files/publicatie/attachments/eu_vulnerable_groups_2012_mdm.pdf"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igrant-health-europe.org/files/Research%20on%20Migrant%20Health_Background%20Paper.pdf" TargetMode="External"/><Relationship Id="rId34" Type="http://schemas.openxmlformats.org/officeDocument/2006/relationships/hyperlink" Target="http://daccess-dds-ny.un.org/doc/UNDOC/GEN/G12/125/96/PDF/G1212596.pdf?OpenElemen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refworld.org/pdfid/476b7d322.pdf" TargetMode="External"/><Relationship Id="rId17" Type="http://schemas.openxmlformats.org/officeDocument/2006/relationships/hyperlink" Target="http://fra.europa.eu/sites/default/files/fra_uploads/1827-FRA_2011_Migrants_in_an_irregular_situation_EN.pdf" TargetMode="External"/><Relationship Id="rId25" Type="http://schemas.openxmlformats.org/officeDocument/2006/relationships/hyperlink" Target="http://b.3cdn.net/droftheworld/d137240498b91ca33e_jhm62yjg1.pdf" TargetMode="External"/><Relationship Id="rId33" Type="http://schemas.openxmlformats.org/officeDocument/2006/relationships/hyperlink" Target="http://tbinternet.ohchr.org/_layouts/treatybodyexternal/TBSearch.aspx?Lang=en&amp;TreatyID=9&amp;DocTypeID=1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rregular-migration.net/typo3_upload/groups/31/4.Background_Information/4.1.Methodology/EthicalIssuesIrregularMigration_Clandestino_Report_Nov09.pdf" TargetMode="External"/><Relationship Id="rId20" Type="http://schemas.openxmlformats.org/officeDocument/2006/relationships/hyperlink" Target="http://www.epim.info/wp-content/uploads/2011/02/HUMA-Publication-Comparative-Overview-16-Countries-2010.pdf" TargetMode="External"/><Relationship Id="rId29" Type="http://schemas.openxmlformats.org/officeDocument/2006/relationships/hyperlink" Target="http://www.doctorswithoutborders.org/sites/usa/files/MSF-Migrants-Refugees-AsslymSeekers.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ia.org/publicdocuments/special-publications/SP5.pdf?AspxAutoDetectCookieSupport=1" TargetMode="External"/><Relationship Id="rId24" Type="http://schemas.openxmlformats.org/officeDocument/2006/relationships/hyperlink" Target="http://b.3cdn.net/droftheworld/d137240498b91ca33e_jhm62yjg1.pdf" TargetMode="External"/><Relationship Id="rId32" Type="http://schemas.openxmlformats.org/officeDocument/2006/relationships/hyperlink" Target="http://picum.org/picum.org/uploads/publication/PolicyBrief_Local%20and%20Regional%20Authorities_AccessHealthCare_UndocumentedMigrants_Oct.2014.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assembly.coe.int/Mainf.asp?link=/Documents/AdoptedText/ta10/ERES1707.htm" TargetMode="External"/><Relationship Id="rId23" Type="http://schemas.openxmlformats.org/officeDocument/2006/relationships/hyperlink" Target="http://www.detention-in-europe.org/images/stories/DEVAS/jrs-europe_becoming%20vulnerable%20in%20detention_june%202010_public_updated%20on%2012july10.pdf" TargetMode="External"/><Relationship Id="rId28" Type="http://schemas.openxmlformats.org/officeDocument/2006/relationships/hyperlink" Target="http://mdmgreece.gr/attachments/283_huma%20en.pdf" TargetMode="External"/><Relationship Id="rId36" Type="http://schemas.openxmlformats.org/officeDocument/2006/relationships/header" Target="header1.xml"/><Relationship Id="rId10" Type="http://schemas.openxmlformats.org/officeDocument/2006/relationships/hyperlink" Target="http://minorityhealth.hhs.gov/assets/pdf/checked/finalreport.pdf" TargetMode="External"/><Relationship Id="rId19" Type="http://schemas.openxmlformats.org/officeDocument/2006/relationships/hyperlink" Target="http://fra.europa.eu/sites/default/files/fra_uploads/2099-FRA-2012-Roma-at-a-glance_EN.pdf" TargetMode="External"/><Relationship Id="rId31" Type="http://schemas.openxmlformats.org/officeDocument/2006/relationships/hyperlink" Target="http://www.mem-tp.org/pluginfile.php/620/mod_resource/content/1/MEM-TP_Synthesis_Report_Appendices_I-VI.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e.int/t/commissioner/source/prems/prems79611_GBR_CouvHumanRightsOfRoma_WEB.pdf" TargetMode="External"/><Relationship Id="rId22" Type="http://schemas.openxmlformats.org/officeDocument/2006/relationships/hyperlink" Target="http://www.ohchr.org/Documents/Issues/Migration/WHO_IOM_UNOHCHRPublication.pdf" TargetMode="External"/><Relationship Id="rId27" Type="http://schemas.openxmlformats.org/officeDocument/2006/relationships/hyperlink" Target="http://www.doktersvandewereld.be/sites/www.doktersvandewereld.be/files/publicatie/attachments/eu_vulnerable_groups_2012_mdm.pdf" TargetMode="External"/><Relationship Id="rId30" Type="http://schemas.openxmlformats.org/officeDocument/2006/relationships/hyperlink" Target="http://www.mem-tp.org/pluginfile.php/619/mod_resource/content/1/MEM-TP_Synthesis_Report.pdf" TargetMode="External"/><Relationship Id="rId35" Type="http://schemas.openxmlformats.org/officeDocument/2006/relationships/hyperlink" Target="http://www.ohchr.org/Documents/HRBodies/HRCouncil/RegularSession/Session23/A.HRC.23.46_en.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pim.info/wp-content/uploads/2011/02/HUMA-Publication-Comparative-Overview-16-Countries-2010.pdf" TargetMode="External"/><Relationship Id="rId13" Type="http://schemas.openxmlformats.org/officeDocument/2006/relationships/hyperlink" Target="http://www.coe.int/t/commissioner/source/prems/prems79611_GBR_CouvHumanRightsOfRoma_WEB.pdf" TargetMode="External"/><Relationship Id="rId18" Type="http://schemas.openxmlformats.org/officeDocument/2006/relationships/hyperlink" Target="http://daccess-dds-ny.un.org/doc/UNDOC/GEN/G12/125/96/PDF/G1212596.pdf?OpenElement" TargetMode="External"/><Relationship Id="rId26" Type="http://schemas.openxmlformats.org/officeDocument/2006/relationships/hyperlink" Target="http://b.3cdn.net/droftheworld/d137240498b91ca33e_jhm62yjg1.pdf" TargetMode="External"/><Relationship Id="rId3" Type="http://schemas.openxmlformats.org/officeDocument/2006/relationships/hyperlink" Target="http://www.mem-tp.org/pluginfile.php/619/mod_resource/content/1/MEM-TP_Synthesis_Report.pdf" TargetMode="External"/><Relationship Id="rId21" Type="http://schemas.openxmlformats.org/officeDocument/2006/relationships/hyperlink" Target="http://assembly.coe.int/Mainf.asp?link=/Documents/AdoptedText/ta10/ERES1707.htm" TargetMode="External"/><Relationship Id="rId7" Type="http://schemas.openxmlformats.org/officeDocument/2006/relationships/hyperlink" Target="http://fra.europa.eu/sites/default/files/fra_uploads/1771-FRA-2011-fundamental-rights-for-irregular-migrants-healthcare_EN.pdf" TargetMode="External"/><Relationship Id="rId12" Type="http://schemas.openxmlformats.org/officeDocument/2006/relationships/hyperlink" Target="http://picum.org/picum.org/uploads/publication/PolicyBrief_Local%20and%20Regional%20Authorities_AccessHealthCare_UndocumentedMigrants_Oct.2014.pdf" TargetMode="External"/><Relationship Id="rId17" Type="http://schemas.openxmlformats.org/officeDocument/2006/relationships/hyperlink" Target="http://www.refworld.org/pdfid/476b7d322.pdf" TargetMode="External"/><Relationship Id="rId25" Type="http://schemas.openxmlformats.org/officeDocument/2006/relationships/hyperlink" Target="http://www.doktersvandewereld.be/sites/www.doktersvandewereld.be/files/publicatie/attachments/eu_vulnerable_groups_2012_mdm.pdf" TargetMode="External"/><Relationship Id="rId2" Type="http://schemas.openxmlformats.org/officeDocument/2006/relationships/hyperlink" Target="http://www.migrant-health-europe.org/files/Research%20on%20Migrant%20Health_Background%20Paper.pdf" TargetMode="External"/><Relationship Id="rId16" Type="http://schemas.openxmlformats.org/officeDocument/2006/relationships/hyperlink" Target="http://www.doctorswithoutborders.org/sites/usa/files/MSF-Migrants-Refugees-AsslymSeekers.pdf" TargetMode="External"/><Relationship Id="rId20" Type="http://schemas.openxmlformats.org/officeDocument/2006/relationships/hyperlink" Target="http://www.aedh.eu/plugins/fckeditor/userfiles/file/Asile%20et%20immigration/Study_of_European_Parliament_about_detention_and_enferment_in_Europe.pdf" TargetMode="External"/><Relationship Id="rId1" Type="http://schemas.openxmlformats.org/officeDocument/2006/relationships/hyperlink" Target="http://tbinternet.ohchr.org/_layouts/treatybodyexternal/TBSearch.aspx?Lang=en&amp;TreatyID=9&amp;DocTypeID=11" TargetMode="External"/><Relationship Id="rId6" Type="http://schemas.openxmlformats.org/officeDocument/2006/relationships/hyperlink" Target="http://fra.europa.eu/sites/default/files/fra_uploads/1827-FRA_2011_Migrants_in_an_irregular_situation_EN.pdf" TargetMode="External"/><Relationship Id="rId11" Type="http://schemas.openxmlformats.org/officeDocument/2006/relationships/hyperlink" Target="http://b.3cdn.net/droftheworld/d137240498b91ca33e_jhm62yjg1.pdf" TargetMode="External"/><Relationship Id="rId24" Type="http://schemas.openxmlformats.org/officeDocument/2006/relationships/hyperlink" Target="http://www.who.int/hia/tools/en/" TargetMode="External"/><Relationship Id="rId5" Type="http://schemas.openxmlformats.org/officeDocument/2006/relationships/hyperlink" Target="http://irregular-migration.net/typo3_upload/groups/31/4.Background_Information/4.1.Methodology/EthicalIssuesIrregularMigration_Clandestino_Report_Nov09.pdf" TargetMode="External"/><Relationship Id="rId15" Type="http://schemas.openxmlformats.org/officeDocument/2006/relationships/hyperlink" Target="http://www.detention-in-europe.org/images/stories/DEVAS/jrs-europe_becoming%20vulnerable%20in%20detention_june%202010_public_updated%20on%2012july10.pdf" TargetMode="External"/><Relationship Id="rId23" Type="http://schemas.openxmlformats.org/officeDocument/2006/relationships/hyperlink" Target="http://www.who.int/hia/about/en/" TargetMode="External"/><Relationship Id="rId10" Type="http://schemas.openxmlformats.org/officeDocument/2006/relationships/hyperlink" Target="http://www.doktersvandewereld.be/sites/www.doktersvandewereld.be/files/publicatie/attachments/eu_vulnerable_groups_2012_mdm.pdf" TargetMode="External"/><Relationship Id="rId19" Type="http://schemas.openxmlformats.org/officeDocument/2006/relationships/hyperlink" Target="http://www.ohchr.org/Documents/HRBodies/HRCouncil/RegularSession/Session23/A.HRC.23.46_en.pdf" TargetMode="External"/><Relationship Id="rId4" Type="http://schemas.openxmlformats.org/officeDocument/2006/relationships/hyperlink" Target="http://www.ohchr.org/Documents/Issues/Migration/WHO_IOM_UNOHCHRPublication.pdf" TargetMode="External"/><Relationship Id="rId9" Type="http://schemas.openxmlformats.org/officeDocument/2006/relationships/hyperlink" Target="http://mdmgreece.gr/attachments/283_huma%20en.pdf" TargetMode="External"/><Relationship Id="rId14" Type="http://schemas.openxmlformats.org/officeDocument/2006/relationships/hyperlink" Target="http://fra.europa.eu/sites/default/files/fra_uploads/2099-FRA-2012-Roma-at-a-glance_EN.pdf" TargetMode="External"/><Relationship Id="rId22" Type="http://schemas.openxmlformats.org/officeDocument/2006/relationships/hyperlink" Target="http://www.iaia.org/publicdocuments/special-publications/SP5.pdf?AspxAutoDetectCookieSuppo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5531</Words>
  <Characters>30424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acanton</cp:lastModifiedBy>
  <cp:revision>3</cp:revision>
  <cp:lastPrinted>2015-03-23T12:21:00Z</cp:lastPrinted>
  <dcterms:created xsi:type="dcterms:W3CDTF">2016-04-19T08:25:00Z</dcterms:created>
  <dcterms:modified xsi:type="dcterms:W3CDTF">2016-10-21T09:41:00Z</dcterms:modified>
</cp:coreProperties>
</file>