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49" w:rsidRDefault="00A14A49" w:rsidP="00D77A51">
      <w:r>
        <w:rPr>
          <w:noProof/>
        </w:rPr>
        <w:pict>
          <v:shapetype id="_x0000_t202" coordsize="21600,21600" o:spt="202" path="m,l,21600r21600,l21600,xe">
            <v:stroke joinstyle="miter"/>
            <v:path gradientshapeok="t" o:connecttype="rect"/>
          </v:shapetype>
          <v:shape id="_x0000_s1028" type="#_x0000_t202" style="position:absolute;margin-left:22.95pt;margin-top:131.35pt;width:386.15pt;height:379.35pt;z-index:251657728;mso-position-vertical-relative:margin" filled="f" stroked="f">
            <v:textbox style="mso-next-textbox:#_x0000_s1028">
              <w:txbxContent>
                <w:p w:rsidR="00A14A49" w:rsidRPr="000B0DC0" w:rsidRDefault="00A14A49" w:rsidP="00B761E6">
                  <w:pPr>
                    <w:jc w:val="center"/>
                    <w:rPr>
                      <w:rFonts w:ascii="EC Square Sans Pro Medium" w:hAnsi="EC Square Sans Pro Medium"/>
                      <w:color w:val="263673"/>
                      <w:sz w:val="24"/>
                      <w:lang w:val="en-GB"/>
                    </w:rPr>
                  </w:pPr>
                  <w:r w:rsidRPr="000B0DC0">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A14A49" w:rsidRPr="000B0DC0" w:rsidRDefault="00A14A49" w:rsidP="00B761E6">
                  <w:pPr>
                    <w:jc w:val="center"/>
                    <w:rPr>
                      <w:rFonts w:ascii="EC Square Sans Pro Medium" w:hAnsi="EC Square Sans Pro Medium"/>
                      <w:color w:val="263673"/>
                      <w:sz w:val="24"/>
                      <w:lang w:val="en-GB"/>
                    </w:rPr>
                  </w:pPr>
                  <w:r w:rsidRPr="000B0DC0">
                    <w:rPr>
                      <w:rFonts w:ascii="EC Square Sans Pro Medium" w:hAnsi="EC Square Sans Pro Medium"/>
                      <w:color w:val="263673"/>
                      <w:sz w:val="24"/>
                      <w:lang w:val="en-GB"/>
                    </w:rPr>
                    <w:t>MEM-TP</w:t>
                  </w:r>
                </w:p>
                <w:p w:rsidR="00A14A49" w:rsidRDefault="00A14A49" w:rsidP="00B761E6">
                  <w:pPr>
                    <w:jc w:val="center"/>
                    <w:rPr>
                      <w:b/>
                      <w:i/>
                      <w:color w:val="263673"/>
                      <w:sz w:val="36"/>
                      <w:szCs w:val="36"/>
                      <w:lang w:val="en-GB"/>
                    </w:rPr>
                  </w:pPr>
                </w:p>
                <w:p w:rsidR="00A14A49" w:rsidRPr="000B0DC0" w:rsidRDefault="00A14A49" w:rsidP="00B761E6">
                  <w:pPr>
                    <w:spacing w:after="200" w:line="276" w:lineRule="auto"/>
                    <w:jc w:val="center"/>
                    <w:rPr>
                      <w:rFonts w:ascii="Verdana" w:hAnsi="Verdana"/>
                      <w:b/>
                      <w:i/>
                      <w:color w:val="263673"/>
                      <w:sz w:val="36"/>
                      <w:szCs w:val="36"/>
                      <w:lang w:val="en-GB"/>
                    </w:rPr>
                  </w:pPr>
                  <w:r w:rsidRPr="000B0DC0">
                    <w:rPr>
                      <w:rFonts w:ascii="Verdana" w:hAnsi="Verdana"/>
                      <w:b/>
                      <w:i/>
                      <w:color w:val="263673"/>
                      <w:sz w:val="36"/>
                      <w:szCs w:val="36"/>
                      <w:lang w:val="en-GB"/>
                    </w:rPr>
                    <w:t>MODULE 4</w:t>
                  </w:r>
                </w:p>
                <w:p w:rsidR="00A14A49" w:rsidRPr="000B0DC0" w:rsidRDefault="00A14A49" w:rsidP="00B761E6">
                  <w:pPr>
                    <w:spacing w:after="200" w:line="276" w:lineRule="auto"/>
                    <w:jc w:val="center"/>
                    <w:rPr>
                      <w:rFonts w:ascii="Verdana" w:hAnsi="Verdana"/>
                      <w:b/>
                      <w:i/>
                      <w:color w:val="263673"/>
                      <w:sz w:val="36"/>
                      <w:szCs w:val="36"/>
                      <w:lang w:val="en-GB"/>
                    </w:rPr>
                  </w:pPr>
                  <w:r w:rsidRPr="000B0DC0">
                    <w:rPr>
                      <w:rFonts w:ascii="Verdana" w:hAnsi="Verdana"/>
                      <w:b/>
                      <w:i/>
                      <w:color w:val="263673"/>
                      <w:sz w:val="36"/>
                      <w:szCs w:val="36"/>
                      <w:lang w:val="en-GB"/>
                    </w:rPr>
                    <w:t>Knowledge Application</w:t>
                  </w:r>
                </w:p>
                <w:p w:rsidR="00A14A49" w:rsidRPr="000B0DC0" w:rsidRDefault="00A14A49" w:rsidP="00B761E6">
                  <w:pPr>
                    <w:spacing w:after="200" w:line="276" w:lineRule="auto"/>
                    <w:jc w:val="center"/>
                    <w:rPr>
                      <w:rFonts w:ascii="Verdana" w:hAnsi="Verdana"/>
                      <w:b/>
                      <w:i/>
                      <w:color w:val="263673"/>
                      <w:sz w:val="36"/>
                      <w:szCs w:val="36"/>
                      <w:lang w:val="en-GB"/>
                    </w:rPr>
                  </w:pPr>
                  <w:r w:rsidRPr="000B0DC0">
                    <w:rPr>
                      <w:rFonts w:ascii="Verdana" w:hAnsi="Verdana"/>
                      <w:b/>
                      <w:i/>
                      <w:color w:val="263673"/>
                      <w:sz w:val="36"/>
                      <w:szCs w:val="36"/>
                      <w:lang w:val="en-GB"/>
                    </w:rPr>
                    <w:t>UNIT 6: Intersectoral Approach</w:t>
                  </w:r>
                </w:p>
                <w:p w:rsidR="00A14A49" w:rsidRPr="000B0DC0" w:rsidRDefault="00A14A49" w:rsidP="00B761E6">
                  <w:pPr>
                    <w:spacing w:after="200" w:line="276" w:lineRule="auto"/>
                    <w:jc w:val="center"/>
                    <w:rPr>
                      <w:rFonts w:ascii="Verdana" w:hAnsi="Verdana"/>
                      <w:b/>
                      <w:i/>
                      <w:color w:val="263673"/>
                      <w:sz w:val="36"/>
                      <w:szCs w:val="36"/>
                      <w:lang w:val="en-GB"/>
                    </w:rPr>
                  </w:pPr>
                  <w:r w:rsidRPr="000B0DC0">
                    <w:rPr>
                      <w:rFonts w:ascii="Verdana" w:hAnsi="Verdana"/>
                      <w:b/>
                      <w:i/>
                      <w:color w:val="263673"/>
                      <w:sz w:val="36"/>
                      <w:szCs w:val="36"/>
                      <w:lang w:val="en-GB"/>
                    </w:rPr>
                    <w:t>Guidelines</w:t>
                  </w:r>
                </w:p>
                <w:p w:rsidR="00A14A49" w:rsidRDefault="00A14A49" w:rsidP="00B761E6">
                  <w:pPr>
                    <w:jc w:val="center"/>
                    <w:rPr>
                      <w:b/>
                      <w:i/>
                      <w:color w:val="263673"/>
                      <w:sz w:val="36"/>
                      <w:szCs w:val="36"/>
                      <w:lang w:val="en-GB"/>
                    </w:rPr>
                  </w:pPr>
                </w:p>
                <w:p w:rsidR="00A14A49" w:rsidRPr="000B0DC0" w:rsidRDefault="00A14A49" w:rsidP="00B761E6">
                  <w:pPr>
                    <w:jc w:val="center"/>
                    <w:rPr>
                      <w:rFonts w:ascii="EC Square Sans Pro Medium" w:hAnsi="EC Square Sans Pro Medium"/>
                      <w:i/>
                      <w:color w:val="263673"/>
                      <w:sz w:val="24"/>
                      <w:lang w:val="en-GB"/>
                    </w:rPr>
                  </w:pPr>
                  <w:r w:rsidRPr="000B0DC0">
                    <w:rPr>
                      <w:rFonts w:ascii="EC Square Sans Pro Medium" w:hAnsi="EC Square Sans Pro Medium"/>
                      <w:i/>
                      <w:color w:val="263673"/>
                      <w:sz w:val="24"/>
                      <w:lang w:val="en-GB"/>
                    </w:rPr>
                    <w:t>Prepared by:</w:t>
                  </w:r>
                </w:p>
                <w:p w:rsidR="00A14A49" w:rsidRPr="000B0DC0" w:rsidRDefault="00A14A49" w:rsidP="00B761E6">
                  <w:pPr>
                    <w:jc w:val="center"/>
                    <w:rPr>
                      <w:rFonts w:ascii="EC Square Sans Pro Medium" w:hAnsi="EC Square Sans Pro Medium"/>
                      <w:i/>
                      <w:color w:val="263673"/>
                      <w:sz w:val="24"/>
                      <w:lang w:val="en-GB"/>
                    </w:rPr>
                  </w:pPr>
                  <w:r w:rsidRPr="000B0DC0">
                    <w:rPr>
                      <w:rFonts w:ascii="EC Square Sans Pro Medium" w:hAnsi="EC Square Sans Pro Medium"/>
                      <w:i/>
                      <w:color w:val="263673"/>
                      <w:sz w:val="24"/>
                      <w:lang w:val="en-GB"/>
                    </w:rPr>
                    <w:t xml:space="preserve">Amets Suess </w:t>
                  </w:r>
                </w:p>
                <w:p w:rsidR="00A14A49" w:rsidRPr="000B0DC0" w:rsidRDefault="00A14A49" w:rsidP="00B761E6">
                  <w:pPr>
                    <w:jc w:val="center"/>
                    <w:rPr>
                      <w:rFonts w:ascii="EC Square Sans Pro Medium" w:hAnsi="EC Square Sans Pro Medium"/>
                      <w:i/>
                      <w:color w:val="263673"/>
                      <w:sz w:val="24"/>
                      <w:lang w:val="en-GB"/>
                    </w:rPr>
                  </w:pPr>
                  <w:smartTag w:uri="urn:schemas-microsoft-com:office:smarttags" w:element="place">
                    <w:smartTag w:uri="urn:schemas-microsoft-com:office:smarttags" w:element="PlaceName">
                      <w:r w:rsidRPr="000B0DC0">
                        <w:rPr>
                          <w:rFonts w:ascii="EC Square Sans Pro Medium" w:hAnsi="EC Square Sans Pro Medium"/>
                          <w:i/>
                          <w:color w:val="263673"/>
                          <w:sz w:val="24"/>
                          <w:lang w:val="en-GB"/>
                        </w:rPr>
                        <w:t>Andalusian</w:t>
                      </w:r>
                    </w:smartTag>
                    <w:r w:rsidRPr="000B0DC0">
                      <w:rPr>
                        <w:rFonts w:ascii="EC Square Sans Pro Medium" w:hAnsi="EC Square Sans Pro Medium"/>
                        <w:i/>
                        <w:color w:val="263673"/>
                        <w:sz w:val="24"/>
                        <w:lang w:val="en-GB"/>
                      </w:rPr>
                      <w:t xml:space="preserve"> </w:t>
                    </w:r>
                    <w:smartTag w:uri="urn:schemas-microsoft-com:office:smarttags" w:element="place">
                      <w:r w:rsidRPr="000B0DC0">
                        <w:rPr>
                          <w:rFonts w:ascii="EC Square Sans Pro Medium" w:hAnsi="EC Square Sans Pro Medium"/>
                          <w:i/>
                          <w:color w:val="263673"/>
                          <w:sz w:val="24"/>
                          <w:lang w:val="en-GB"/>
                        </w:rPr>
                        <w:t>School</w:t>
                      </w:r>
                    </w:smartTag>
                  </w:smartTag>
                  <w:r w:rsidRPr="000B0DC0">
                    <w:rPr>
                      <w:rFonts w:ascii="EC Square Sans Pro Medium" w:hAnsi="EC Square Sans Pro Medium"/>
                      <w:i/>
                      <w:color w:val="263673"/>
                      <w:sz w:val="24"/>
                      <w:lang w:val="en-GB"/>
                    </w:rPr>
                    <w:t xml:space="preserve">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margin-left:-85.05pt;margin-top:0;width:595.65pt;height:841.05pt;z-index:251656704;visibility:visible;mso-position-vertical:center;mso-position-vertical-relative:margin">
            <v:imagedata r:id="rId7" o:title=""/>
            <w10:wrap type="square" anchory="margin"/>
          </v:shape>
        </w:pict>
      </w:r>
      <w:r>
        <w:br w:type="page"/>
      </w:r>
    </w:p>
    <w:p w:rsidR="00A14A49" w:rsidRDefault="00A14A49" w:rsidP="00B761E6">
      <w:pPr>
        <w:spacing w:line="360" w:lineRule="auto"/>
        <w:jc w:val="both"/>
        <w:rPr>
          <w:lang w:val="en-GB"/>
        </w:rPr>
      </w:pPr>
      <w:bookmarkStart w:id="0" w:name="_GoBack"/>
      <w:bookmarkEnd w:id="0"/>
    </w:p>
    <w:p w:rsidR="00A14A49" w:rsidRDefault="00A14A49" w:rsidP="00B761E6">
      <w:pPr>
        <w:spacing w:line="360" w:lineRule="auto"/>
        <w:jc w:val="both"/>
        <w:rPr>
          <w:lang w:val="en-GB"/>
        </w:rPr>
      </w:pPr>
    </w:p>
    <w:p w:rsidR="00A14A49" w:rsidRDefault="00A14A49" w:rsidP="00B761E6">
      <w:pPr>
        <w:spacing w:line="360" w:lineRule="auto"/>
        <w:jc w:val="both"/>
        <w:rPr>
          <w:lang w:val="en-GB"/>
        </w:rPr>
      </w:pPr>
    </w:p>
    <w:p w:rsidR="00A14A49" w:rsidRDefault="00A14A49" w:rsidP="00B761E6">
      <w:pPr>
        <w:spacing w:line="360" w:lineRule="auto"/>
        <w:jc w:val="both"/>
        <w:rPr>
          <w:lang w:val="en-GB"/>
        </w:rPr>
      </w:pPr>
    </w:p>
    <w:p w:rsidR="00A14A49" w:rsidRDefault="00A14A49" w:rsidP="00B761E6">
      <w:pPr>
        <w:spacing w:line="360" w:lineRule="auto"/>
        <w:jc w:val="both"/>
        <w:rPr>
          <w:lang w:val="en-GB"/>
        </w:rPr>
      </w:pPr>
    </w:p>
    <w:p w:rsidR="00A14A49" w:rsidRDefault="00A14A49" w:rsidP="00B761E6">
      <w:pPr>
        <w:spacing w:line="360" w:lineRule="auto"/>
        <w:jc w:val="both"/>
        <w:rPr>
          <w:lang w:val="en-GB"/>
        </w:rPr>
      </w:pPr>
    </w:p>
    <w:p w:rsidR="00A14A49" w:rsidRDefault="00A14A49" w:rsidP="00B761E6">
      <w:pPr>
        <w:spacing w:line="360" w:lineRule="auto"/>
        <w:jc w:val="both"/>
        <w:rPr>
          <w:lang w:val="en-GB"/>
        </w:rPr>
      </w:pPr>
    </w:p>
    <w:p w:rsidR="00A14A49" w:rsidRDefault="00A14A49" w:rsidP="00B761E6">
      <w:pPr>
        <w:spacing w:line="360" w:lineRule="auto"/>
        <w:jc w:val="both"/>
        <w:rPr>
          <w:lang w:val="en-GB"/>
        </w:rPr>
      </w:pPr>
    </w:p>
    <w:p w:rsidR="00A14A49" w:rsidRDefault="00A14A49" w:rsidP="00B761E6">
      <w:pPr>
        <w:spacing w:line="360" w:lineRule="auto"/>
        <w:jc w:val="both"/>
        <w:rPr>
          <w:lang w:val="en-GB"/>
        </w:rPr>
      </w:pPr>
    </w:p>
    <w:p w:rsidR="00A14A49" w:rsidRDefault="00A14A49" w:rsidP="00B761E6">
      <w:pPr>
        <w:spacing w:line="360" w:lineRule="auto"/>
        <w:jc w:val="both"/>
        <w:rPr>
          <w:lang w:val="en-GB"/>
        </w:rPr>
      </w:pPr>
    </w:p>
    <w:p w:rsidR="00A14A49" w:rsidRPr="004309D0" w:rsidRDefault="00A14A49" w:rsidP="00B761E6">
      <w:pPr>
        <w:spacing w:line="360" w:lineRule="auto"/>
        <w:jc w:val="both"/>
        <w:rPr>
          <w:lang w:val="en-GB"/>
        </w:rPr>
      </w:pPr>
    </w:p>
    <w:p w:rsidR="00A14A49" w:rsidRPr="000B0DC0" w:rsidRDefault="00A14A49" w:rsidP="00B761E6">
      <w:pPr>
        <w:rPr>
          <w:rFonts w:ascii="EC Square Sans Pro Medium" w:hAnsi="EC Square Sans Pro Medium"/>
          <w:color w:val="263673"/>
          <w:sz w:val="20"/>
          <w:szCs w:val="20"/>
          <w:lang w:val="en-GB"/>
        </w:rPr>
      </w:pPr>
      <w:r w:rsidRPr="000B0DC0">
        <w:rPr>
          <w:rFonts w:ascii="EC Square Sans Pro Medium" w:hAnsi="EC Square Sans Pro Medium"/>
          <w:color w:val="263673"/>
          <w:sz w:val="20"/>
          <w:szCs w:val="20"/>
          <w:lang w:val="en-GB"/>
        </w:rPr>
        <w:t>© European Union, 2015</w:t>
      </w:r>
    </w:p>
    <w:p w:rsidR="00A14A49" w:rsidRPr="000B0DC0" w:rsidRDefault="00A14A49" w:rsidP="00B761E6">
      <w:pPr>
        <w:rPr>
          <w:rFonts w:ascii="EC Square Sans Pro Medium" w:hAnsi="EC Square Sans Pro Medium"/>
          <w:color w:val="263673"/>
          <w:sz w:val="20"/>
          <w:szCs w:val="20"/>
          <w:lang w:val="en-GB"/>
        </w:rPr>
      </w:pPr>
      <w:r w:rsidRPr="000B0DC0">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A14A49" w:rsidRPr="000B0DC0" w:rsidRDefault="00A14A49" w:rsidP="00B761E6">
      <w:pPr>
        <w:rPr>
          <w:rFonts w:ascii="EC Square Sans Pro Medium" w:hAnsi="EC Square Sans Pro Medium"/>
          <w:color w:val="263673"/>
          <w:sz w:val="20"/>
          <w:szCs w:val="20"/>
          <w:lang w:val="en-GB"/>
        </w:rPr>
      </w:pPr>
    </w:p>
    <w:p w:rsidR="00A14A49" w:rsidRPr="000B0DC0" w:rsidRDefault="00A14A49" w:rsidP="00B761E6">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0B0DC0">
        <w:rPr>
          <w:rFonts w:ascii="EC Square Sans Pro Medium" w:hAnsi="EC Square Sans Pro Medium"/>
          <w:color w:val="263673"/>
          <w:sz w:val="20"/>
          <w:szCs w:val="20"/>
          <w:lang w:val="en-GB"/>
        </w:rPr>
        <w:t>Junta de Andalucía.</w:t>
      </w:r>
    </w:p>
    <w:p w:rsidR="00A14A49" w:rsidRPr="000B0DC0" w:rsidRDefault="00A14A49" w:rsidP="00B761E6">
      <w:pPr>
        <w:rPr>
          <w:rFonts w:ascii="EC Square Sans Pro Medium" w:hAnsi="EC Square Sans Pro Medium"/>
          <w:color w:val="263673"/>
          <w:sz w:val="20"/>
          <w:szCs w:val="20"/>
          <w:lang w:val="en-GB"/>
        </w:rPr>
      </w:pPr>
    </w:p>
    <w:p w:rsidR="00A14A49" w:rsidRPr="000B0DC0" w:rsidRDefault="00A14A49" w:rsidP="00B761E6">
      <w:pPr>
        <w:spacing w:line="360" w:lineRule="auto"/>
        <w:jc w:val="both"/>
        <w:rPr>
          <w:lang w:val="en-GB"/>
        </w:rPr>
      </w:pPr>
    </w:p>
    <w:p w:rsidR="00A14A49" w:rsidRPr="000B0DC0" w:rsidRDefault="00A14A49" w:rsidP="00B761E6">
      <w:pPr>
        <w:spacing w:line="360" w:lineRule="auto"/>
        <w:jc w:val="both"/>
        <w:rPr>
          <w:lang w:val="en-GB"/>
        </w:rPr>
      </w:pPr>
    </w:p>
    <w:p w:rsidR="00A14A49" w:rsidRPr="000B0DC0" w:rsidRDefault="00A14A49" w:rsidP="00B761E6">
      <w:pPr>
        <w:spacing w:line="360" w:lineRule="auto"/>
        <w:jc w:val="both"/>
        <w:rPr>
          <w:lang w:val="en-GB"/>
        </w:rPr>
      </w:pPr>
    </w:p>
    <w:p w:rsidR="00A14A49" w:rsidRPr="000B0DC0" w:rsidRDefault="00A14A49" w:rsidP="00B761E6">
      <w:pPr>
        <w:spacing w:line="360" w:lineRule="auto"/>
        <w:jc w:val="both"/>
        <w:rPr>
          <w:lang w:val="en-GB"/>
        </w:rPr>
      </w:pPr>
    </w:p>
    <w:p w:rsidR="00A14A49" w:rsidRPr="000B0DC0" w:rsidRDefault="00A14A49" w:rsidP="00B761E6">
      <w:pPr>
        <w:spacing w:line="360" w:lineRule="auto"/>
        <w:jc w:val="both"/>
        <w:rPr>
          <w:lang w:val="en-GB"/>
        </w:rPr>
      </w:pPr>
      <w:r>
        <w:rPr>
          <w:noProof/>
        </w:rPr>
        <w:pict>
          <v:group id="Lienzo 9" o:spid="_x0000_s1030" editas="canvas" style="position:absolute;left:0;text-align:left;margin-left:.3pt;margin-top:5pt;width:419.2pt;height:64.5pt;z-index:-251657728;mso-position-horizontal-relative:margin" coordsize="5323840,819150"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40;height:819150;visibility:visible">
              <v:fill o:detectmouseclick="t"/>
              <v:path o:connecttype="none"/>
            </v:shape>
            <v:group id="Grupo 1" o:spid="_x0000_s1032" style="position:absolute;width:5323840;height:690990" coordsize="5323840,69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58;top:377759;width:355584;height:2388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82;height:276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A14A49" w:rsidRPr="00516EAF" w:rsidRDefault="00A14A49" w:rsidP="00B761E6">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32;width:3957908;height:6909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A14A49" w:rsidRPr="000B0DC0" w:rsidRDefault="00A14A49" w:rsidP="00B761E6">
      <w:pPr>
        <w:spacing w:line="360" w:lineRule="auto"/>
        <w:jc w:val="both"/>
        <w:rPr>
          <w:lang w:val="en-GB"/>
        </w:rPr>
      </w:pPr>
    </w:p>
    <w:p w:rsidR="00A14A49" w:rsidRPr="000B0DC0" w:rsidRDefault="00A14A49" w:rsidP="00B761E6">
      <w:pPr>
        <w:jc w:val="both"/>
        <w:rPr>
          <w:rFonts w:ascii="Calibri Light" w:hAnsi="Calibri Light"/>
          <w:lang w:val="en-GB"/>
        </w:rPr>
      </w:pPr>
    </w:p>
    <w:p w:rsidR="00A14A49" w:rsidRPr="000B0DC0" w:rsidRDefault="00A14A49" w:rsidP="00B761E6">
      <w:pPr>
        <w:rPr>
          <w:rFonts w:ascii="EC Square Sans Pro Medium" w:hAnsi="EC Square Sans Pro Medium"/>
          <w:color w:val="263673"/>
          <w:sz w:val="20"/>
          <w:szCs w:val="20"/>
          <w:lang w:val="en-GB"/>
        </w:rPr>
      </w:pPr>
    </w:p>
    <w:p w:rsidR="00A14A49" w:rsidRPr="000B0DC0" w:rsidRDefault="00A14A49" w:rsidP="00B761E6">
      <w:pPr>
        <w:jc w:val="both"/>
        <w:rPr>
          <w:rFonts w:ascii="EC Square Sans Pro Medium" w:hAnsi="EC Square Sans Pro Medium"/>
          <w:color w:val="263673"/>
          <w:sz w:val="20"/>
          <w:szCs w:val="20"/>
          <w:lang w:val="en-GB"/>
        </w:rPr>
      </w:pPr>
    </w:p>
    <w:p w:rsidR="00A14A49" w:rsidRPr="000B0DC0" w:rsidRDefault="00A14A49" w:rsidP="00B761E6">
      <w:pPr>
        <w:jc w:val="both"/>
        <w:rPr>
          <w:rFonts w:ascii="EC Square Sans Pro Medium" w:hAnsi="EC Square Sans Pro Medium"/>
          <w:color w:val="263673"/>
          <w:sz w:val="20"/>
          <w:szCs w:val="20"/>
          <w:lang w:val="en-GB"/>
        </w:rPr>
      </w:pPr>
    </w:p>
    <w:p w:rsidR="00A14A49" w:rsidRPr="000B0DC0" w:rsidRDefault="00A14A49" w:rsidP="00B761E6">
      <w:pPr>
        <w:jc w:val="both"/>
        <w:rPr>
          <w:rFonts w:ascii="EC Square Sans Pro Medium" w:hAnsi="EC Square Sans Pro Medium"/>
          <w:color w:val="263673"/>
          <w:sz w:val="20"/>
          <w:szCs w:val="20"/>
          <w:lang w:val="en-GB"/>
        </w:rPr>
      </w:pPr>
    </w:p>
    <w:p w:rsidR="00A14A49" w:rsidRPr="000B0DC0" w:rsidRDefault="00A14A49" w:rsidP="00B761E6">
      <w:pPr>
        <w:jc w:val="both"/>
        <w:rPr>
          <w:rFonts w:ascii="EC Square Sans Pro Medium" w:hAnsi="EC Square Sans Pro Medium"/>
          <w:color w:val="263673"/>
          <w:sz w:val="20"/>
          <w:szCs w:val="20"/>
          <w:lang w:val="en-GB"/>
        </w:rPr>
      </w:pPr>
      <w:r w:rsidRPr="000B0DC0">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0B0DC0">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Name">
        <w:smartTag w:uri="urn:schemas-microsoft-com:office:smarttags" w:element="place">
          <w:smartTag w:uri="urn:schemas-microsoft-com:office:smarttags" w:element="PlaceName">
            <w:r w:rsidRPr="000B0DC0">
              <w:rPr>
                <w:rFonts w:ascii="EC Square Sans Pro Medium" w:hAnsi="EC Square Sans Pro Medium"/>
                <w:color w:val="263673"/>
                <w:sz w:val="20"/>
                <w:szCs w:val="20"/>
                <w:lang w:val="en-GB"/>
              </w:rPr>
              <w:t>Andalusian</w:t>
            </w:r>
          </w:smartTag>
          <w:r w:rsidRPr="000B0DC0">
            <w:rPr>
              <w:rFonts w:ascii="EC Square Sans Pro Medium" w:hAnsi="EC Square Sans Pro Medium"/>
              <w:color w:val="263673"/>
              <w:sz w:val="20"/>
              <w:szCs w:val="20"/>
              <w:lang w:val="en-GB"/>
            </w:rPr>
            <w:t xml:space="preserve"> </w:t>
          </w:r>
          <w:smartTag w:uri="urn:schemas-microsoft-com:office:smarttags" w:element="PlaceType">
            <w:r w:rsidRPr="000B0DC0">
              <w:rPr>
                <w:rFonts w:ascii="EC Square Sans Pro Medium" w:hAnsi="EC Square Sans Pro Medium"/>
                <w:color w:val="263673"/>
                <w:sz w:val="20"/>
                <w:szCs w:val="20"/>
                <w:lang w:val="en-GB"/>
              </w:rPr>
              <w:t>School</w:t>
            </w:r>
          </w:smartTag>
        </w:smartTag>
      </w:smartTag>
      <w:r w:rsidRPr="000B0DC0">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A14A49" w:rsidRPr="000B0DC0" w:rsidRDefault="00A14A49" w:rsidP="00D77A51">
      <w:pPr>
        <w:tabs>
          <w:tab w:val="left" w:pos="2160"/>
        </w:tabs>
        <w:jc w:val="center"/>
        <w:rPr>
          <w:rFonts w:ascii="Verdana" w:hAnsi="Verdana"/>
          <w:b/>
          <w:bCs/>
          <w:color w:val="000080"/>
          <w:sz w:val="28"/>
          <w:szCs w:val="28"/>
          <w:lang w:val="en-US"/>
        </w:rPr>
      </w:pPr>
      <w:r>
        <w:rPr>
          <w:b/>
          <w:color w:val="000080"/>
          <w:sz w:val="40"/>
          <w:szCs w:val="40"/>
          <w:lang w:val="en-US"/>
        </w:rPr>
        <w:br w:type="page"/>
      </w:r>
      <w:r w:rsidRPr="000B0DC0">
        <w:rPr>
          <w:rFonts w:ascii="Verdana" w:hAnsi="Verdana"/>
          <w:b/>
          <w:bCs/>
          <w:color w:val="000080"/>
          <w:sz w:val="28"/>
          <w:szCs w:val="28"/>
          <w:lang w:val="en-US"/>
        </w:rPr>
        <w:t>Module 4, Knowledge Application</w:t>
      </w:r>
    </w:p>
    <w:p w:rsidR="00A14A49" w:rsidRPr="000B0DC0" w:rsidRDefault="00A14A49" w:rsidP="00D77A51">
      <w:pPr>
        <w:tabs>
          <w:tab w:val="left" w:pos="2160"/>
        </w:tabs>
        <w:jc w:val="center"/>
        <w:rPr>
          <w:rFonts w:ascii="Verdana" w:hAnsi="Verdana"/>
          <w:b/>
          <w:bCs/>
          <w:color w:val="000080"/>
          <w:sz w:val="28"/>
          <w:szCs w:val="28"/>
          <w:lang w:val="en-US"/>
        </w:rPr>
      </w:pPr>
      <w:r w:rsidRPr="000B0DC0">
        <w:rPr>
          <w:rFonts w:ascii="Verdana" w:hAnsi="Verdana"/>
          <w:b/>
          <w:bCs/>
          <w:color w:val="000080"/>
          <w:sz w:val="28"/>
          <w:szCs w:val="28"/>
          <w:lang w:val="en-US"/>
        </w:rPr>
        <w:t>Unit 6: Intersectoral Approach</w:t>
      </w:r>
    </w:p>
    <w:p w:rsidR="00A14A49" w:rsidRPr="000B0DC0" w:rsidRDefault="00A14A49" w:rsidP="00D77A51">
      <w:pPr>
        <w:jc w:val="both"/>
        <w:rPr>
          <w:rFonts w:ascii="Verdana" w:hAnsi="Verdana"/>
          <w:szCs w:val="22"/>
          <w:lang w:val="en-GB"/>
        </w:rPr>
      </w:pPr>
    </w:p>
    <w:p w:rsidR="00A14A49" w:rsidRPr="000B0DC0" w:rsidRDefault="00A14A49" w:rsidP="00D77A51">
      <w:pPr>
        <w:jc w:val="both"/>
        <w:rPr>
          <w:rFonts w:ascii="Verdana" w:hAnsi="Verdana"/>
          <w:szCs w:val="22"/>
          <w:lang w:val="en-GB"/>
        </w:rPr>
      </w:pPr>
    </w:p>
    <w:p w:rsidR="00A14A49" w:rsidRPr="000B0DC0" w:rsidRDefault="00A14A49" w:rsidP="00D77A51">
      <w:pPr>
        <w:numPr>
          <w:ilvl w:val="0"/>
          <w:numId w:val="1"/>
        </w:numPr>
        <w:rPr>
          <w:rFonts w:ascii="Verdana" w:hAnsi="Verdana"/>
          <w:b/>
          <w:color w:val="000080"/>
          <w:szCs w:val="22"/>
          <w:lang w:val="en-GB"/>
        </w:rPr>
      </w:pPr>
      <w:r w:rsidRPr="000B0DC0">
        <w:rPr>
          <w:rFonts w:ascii="Verdana" w:hAnsi="Verdana"/>
          <w:b/>
          <w:color w:val="000080"/>
          <w:szCs w:val="22"/>
          <w:lang w:val="en-GB"/>
        </w:rPr>
        <w:t>Objectives and Methods</w:t>
      </w:r>
    </w:p>
    <w:p w:rsidR="00A14A49" w:rsidRPr="000B0DC0" w:rsidRDefault="00A14A49" w:rsidP="00D77A51">
      <w:pPr>
        <w:shd w:val="clear" w:color="auto" w:fill="FFFFFF"/>
        <w:jc w:val="both"/>
        <w:rPr>
          <w:rFonts w:ascii="Verdana" w:hAnsi="Verdana"/>
          <w:b/>
          <w:bCs/>
          <w:color w:val="000080"/>
          <w:szCs w:val="22"/>
        </w:rPr>
      </w:pPr>
    </w:p>
    <w:p w:rsidR="00A14A49" w:rsidRPr="000B0DC0" w:rsidRDefault="00A14A49" w:rsidP="00342908">
      <w:pPr>
        <w:pStyle w:val="ListParagraph"/>
        <w:numPr>
          <w:ilvl w:val="1"/>
          <w:numId w:val="1"/>
        </w:numPr>
        <w:jc w:val="both"/>
        <w:rPr>
          <w:rFonts w:ascii="Verdana" w:hAnsi="Verdana"/>
          <w:b/>
          <w:bCs/>
          <w:color w:val="000080"/>
          <w:szCs w:val="22"/>
        </w:rPr>
      </w:pPr>
      <w:r w:rsidRPr="000B0DC0">
        <w:rPr>
          <w:rFonts w:ascii="Verdana" w:hAnsi="Verdana"/>
          <w:b/>
          <w:bCs/>
          <w:color w:val="000080"/>
          <w:szCs w:val="22"/>
        </w:rPr>
        <w:t>Objectives</w:t>
      </w:r>
    </w:p>
    <w:p w:rsidR="00A14A49" w:rsidRPr="000B0DC0" w:rsidRDefault="00A14A49" w:rsidP="00D77A51">
      <w:pPr>
        <w:jc w:val="both"/>
        <w:rPr>
          <w:rFonts w:ascii="Verdana" w:hAnsi="Verdana"/>
          <w:b/>
          <w:bCs/>
          <w:sz w:val="24"/>
          <w:szCs w:val="28"/>
        </w:rPr>
      </w:pPr>
    </w:p>
    <w:p w:rsidR="00A14A49" w:rsidRPr="000B0DC0" w:rsidRDefault="00A14A49" w:rsidP="00D77A51">
      <w:pPr>
        <w:jc w:val="both"/>
        <w:rPr>
          <w:rFonts w:ascii="Verdana" w:hAnsi="Verdana"/>
          <w:b/>
          <w:bCs/>
          <w:szCs w:val="28"/>
        </w:rPr>
      </w:pPr>
      <w:r w:rsidRPr="000B0DC0">
        <w:rPr>
          <w:rFonts w:ascii="Verdana" w:hAnsi="Verdana"/>
          <w:b/>
          <w:bCs/>
          <w:szCs w:val="28"/>
        </w:rPr>
        <w:t>Objectives of the Presentation</w:t>
      </w:r>
    </w:p>
    <w:p w:rsidR="00A14A49" w:rsidRPr="000B0DC0" w:rsidRDefault="00A14A49" w:rsidP="00D77A51">
      <w:pPr>
        <w:numPr>
          <w:ilvl w:val="0"/>
          <w:numId w:val="8"/>
        </w:numPr>
        <w:jc w:val="both"/>
        <w:rPr>
          <w:rFonts w:ascii="Verdana" w:hAnsi="Verdana"/>
          <w:b/>
          <w:bCs/>
          <w:szCs w:val="28"/>
          <w:lang w:val="en-US"/>
        </w:rPr>
      </w:pPr>
      <w:r w:rsidRPr="000B0DC0">
        <w:rPr>
          <w:rFonts w:ascii="Verdana" w:hAnsi="Verdana"/>
          <w:bCs/>
          <w:szCs w:val="22"/>
          <w:lang w:val="en-GB"/>
        </w:rPr>
        <w:t xml:space="preserve">To introduce the concept of “intersectorality” and relevant applications to health care and health policies addressed to migrants and ethnic minorities.  </w:t>
      </w:r>
    </w:p>
    <w:p w:rsidR="00A14A49" w:rsidRPr="000B0DC0" w:rsidRDefault="00A14A49" w:rsidP="00D77A51">
      <w:pPr>
        <w:ind w:left="720"/>
        <w:jc w:val="both"/>
        <w:rPr>
          <w:rFonts w:ascii="Verdana" w:hAnsi="Verdana"/>
          <w:b/>
          <w:bCs/>
          <w:szCs w:val="28"/>
          <w:lang w:val="en-US"/>
        </w:rPr>
      </w:pPr>
    </w:p>
    <w:p w:rsidR="00A14A49" w:rsidRPr="000B0DC0" w:rsidRDefault="00A14A49" w:rsidP="00D77A51">
      <w:pPr>
        <w:jc w:val="both"/>
        <w:rPr>
          <w:rFonts w:ascii="Verdana" w:hAnsi="Verdana"/>
          <w:b/>
          <w:bCs/>
          <w:szCs w:val="28"/>
        </w:rPr>
      </w:pPr>
      <w:r w:rsidRPr="000B0DC0">
        <w:rPr>
          <w:rFonts w:ascii="Verdana" w:hAnsi="Verdana"/>
          <w:b/>
          <w:bCs/>
          <w:szCs w:val="28"/>
        </w:rPr>
        <w:t>Objectives of the Activities</w:t>
      </w:r>
    </w:p>
    <w:p w:rsidR="00A14A49" w:rsidRPr="000B0DC0" w:rsidRDefault="00A14A49" w:rsidP="00D77A51">
      <w:pPr>
        <w:numPr>
          <w:ilvl w:val="0"/>
          <w:numId w:val="8"/>
        </w:numPr>
        <w:jc w:val="both"/>
        <w:rPr>
          <w:rFonts w:ascii="Verdana" w:hAnsi="Verdana"/>
          <w:b/>
          <w:bCs/>
          <w:szCs w:val="28"/>
          <w:lang w:val="en-US"/>
        </w:rPr>
      </w:pPr>
      <w:r w:rsidRPr="000B0DC0">
        <w:rPr>
          <w:rFonts w:ascii="Verdana" w:hAnsi="Verdana"/>
          <w:bCs/>
          <w:szCs w:val="22"/>
          <w:lang w:val="en-GB"/>
        </w:rPr>
        <w:t>To identify relevant stakeholders, resources, interactions, barriers and strategies for intersectoral action related to the health of migrants and ethnic minorities in the own context.</w:t>
      </w:r>
    </w:p>
    <w:p w:rsidR="00A14A49" w:rsidRPr="000B0DC0" w:rsidRDefault="00A14A49" w:rsidP="00D77A51">
      <w:pPr>
        <w:jc w:val="both"/>
        <w:rPr>
          <w:rFonts w:ascii="Verdana" w:hAnsi="Verdana"/>
          <w:b/>
          <w:bCs/>
          <w:szCs w:val="28"/>
          <w:lang w:val="en-US"/>
        </w:rPr>
      </w:pPr>
    </w:p>
    <w:p w:rsidR="00A14A49" w:rsidRDefault="00A14A49" w:rsidP="00342908">
      <w:pPr>
        <w:numPr>
          <w:ilvl w:val="1"/>
          <w:numId w:val="1"/>
        </w:numPr>
        <w:jc w:val="both"/>
        <w:rPr>
          <w:rFonts w:ascii="Verdana" w:hAnsi="Verdana"/>
          <w:b/>
          <w:bCs/>
          <w:color w:val="000080"/>
          <w:sz w:val="24"/>
          <w:szCs w:val="28"/>
        </w:rPr>
      </w:pPr>
      <w:r w:rsidRPr="000B0DC0">
        <w:rPr>
          <w:rFonts w:ascii="Verdana" w:hAnsi="Verdana"/>
          <w:b/>
          <w:bCs/>
          <w:color w:val="000080"/>
          <w:sz w:val="24"/>
          <w:szCs w:val="28"/>
        </w:rPr>
        <w:t>Methods</w:t>
      </w:r>
    </w:p>
    <w:p w:rsidR="00A14A49" w:rsidRPr="000B0DC0" w:rsidRDefault="00A14A49" w:rsidP="000B0DC0">
      <w:pPr>
        <w:jc w:val="both"/>
        <w:rPr>
          <w:rFonts w:ascii="Verdana" w:hAnsi="Verdana"/>
          <w:b/>
          <w:bCs/>
          <w:color w:val="000080"/>
          <w:sz w:val="24"/>
          <w:szCs w:val="28"/>
        </w:rPr>
      </w:pPr>
    </w:p>
    <w:p w:rsidR="00A14A49" w:rsidRPr="000B0DC0" w:rsidRDefault="00A14A49" w:rsidP="00D77A51">
      <w:pPr>
        <w:jc w:val="both"/>
        <w:rPr>
          <w:rFonts w:ascii="Verdana" w:hAnsi="Verdana"/>
          <w:i/>
          <w:color w:val="008080"/>
          <w:szCs w:val="22"/>
          <w:lang w:val="en-GB"/>
        </w:rPr>
      </w:pPr>
      <w:r w:rsidRPr="000B0DC0">
        <w:rPr>
          <w:rFonts w:ascii="Verdana" w:hAnsi="Verdana"/>
          <w:i/>
          <w:color w:val="008080"/>
          <w:szCs w:val="22"/>
          <w:lang w:val="en-GB"/>
        </w:rPr>
        <w:t xml:space="preserve">The time previewed for Module 4 is 5 hours, approx. 50 min. for each Unit. The training materials of each Unit are composed of presentations, activities, videos and recommended / complementary readings and audiovisual material. </w:t>
      </w:r>
    </w:p>
    <w:p w:rsidR="00A14A49" w:rsidRPr="000B0DC0" w:rsidRDefault="00A14A49" w:rsidP="00D77A51">
      <w:pPr>
        <w:jc w:val="both"/>
        <w:rPr>
          <w:rFonts w:ascii="Verdana" w:hAnsi="Verdana"/>
          <w:i/>
          <w:color w:val="008080"/>
          <w:szCs w:val="22"/>
          <w:lang w:val="en-GB"/>
        </w:rPr>
      </w:pPr>
    </w:p>
    <w:p w:rsidR="00A14A49" w:rsidRPr="000B0DC0" w:rsidRDefault="00A14A49" w:rsidP="00D77A51">
      <w:pPr>
        <w:jc w:val="both"/>
        <w:rPr>
          <w:rFonts w:ascii="Verdana" w:hAnsi="Verdana"/>
          <w:i/>
          <w:color w:val="008080"/>
          <w:szCs w:val="22"/>
        </w:rPr>
      </w:pPr>
      <w:r w:rsidRPr="000B0DC0">
        <w:rPr>
          <w:rFonts w:ascii="Verdana" w:hAnsi="Verdana"/>
          <w:i/>
          <w:color w:val="008080"/>
          <w:szCs w:val="22"/>
          <w:lang w:val="en-GB"/>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w:t>
      </w:r>
      <w:r w:rsidRPr="000B0DC0">
        <w:rPr>
          <w:rFonts w:ascii="Verdana" w:hAnsi="Verdana"/>
          <w:i/>
          <w:color w:val="008080"/>
          <w:szCs w:val="22"/>
        </w:rPr>
        <w:t xml:space="preserve">50% of the session. </w:t>
      </w:r>
    </w:p>
    <w:p w:rsidR="00A14A49" w:rsidRPr="000B0DC0" w:rsidRDefault="00A14A49" w:rsidP="00D77A51">
      <w:pPr>
        <w:spacing w:line="360" w:lineRule="auto"/>
        <w:jc w:val="both"/>
        <w:rPr>
          <w:rFonts w:ascii="Verdana" w:hAnsi="Verdana"/>
          <w:b/>
          <w:bCs/>
          <w:color w:val="000080"/>
          <w:sz w:val="24"/>
          <w:szCs w:val="28"/>
          <w:lang w:val="en-GB"/>
        </w:rPr>
      </w:pPr>
    </w:p>
    <w:tbl>
      <w:tblPr>
        <w:tblpPr w:leftFromText="141" w:rightFromText="141" w:vertAnchor="text" w:tblpX="-10" w:tblpY="1"/>
        <w:tblOverlap w:val="never"/>
        <w:tblW w:w="0" w:type="auto"/>
        <w:tblLayout w:type="fixed"/>
        <w:tblLook w:val="0000"/>
      </w:tblPr>
      <w:tblGrid>
        <w:gridCol w:w="1384"/>
        <w:gridCol w:w="2938"/>
        <w:gridCol w:w="2161"/>
        <w:gridCol w:w="2181"/>
      </w:tblGrid>
      <w:tr w:rsidR="00A14A49" w:rsidRPr="000B0DC0" w:rsidTr="00D77A51">
        <w:tc>
          <w:tcPr>
            <w:tcW w:w="1384" w:type="dxa"/>
            <w:tcBorders>
              <w:top w:val="single" w:sz="4" w:space="0" w:color="000000"/>
              <w:left w:val="single" w:sz="4" w:space="0" w:color="000000"/>
              <w:bottom w:val="single" w:sz="4" w:space="0" w:color="000000"/>
            </w:tcBorders>
          </w:tcPr>
          <w:p w:rsidR="00A14A49" w:rsidRPr="000B0DC0" w:rsidRDefault="00A14A49" w:rsidP="00D77A51">
            <w:pPr>
              <w:snapToGrid w:val="0"/>
              <w:jc w:val="both"/>
              <w:rPr>
                <w:rFonts w:ascii="Verdana" w:hAnsi="Verdana"/>
                <w:b/>
                <w:bCs/>
              </w:rPr>
            </w:pPr>
            <w:r w:rsidRPr="000B0DC0">
              <w:rPr>
                <w:rFonts w:ascii="Verdana" w:hAnsi="Verdana"/>
                <w:b/>
                <w:bCs/>
                <w:szCs w:val="22"/>
              </w:rPr>
              <w:t>Time</w:t>
            </w:r>
          </w:p>
        </w:tc>
        <w:tc>
          <w:tcPr>
            <w:tcW w:w="2938" w:type="dxa"/>
            <w:tcBorders>
              <w:top w:val="single" w:sz="4" w:space="0" w:color="000000"/>
              <w:left w:val="single" w:sz="4" w:space="0" w:color="000000"/>
              <w:bottom w:val="single" w:sz="4" w:space="0" w:color="000000"/>
            </w:tcBorders>
          </w:tcPr>
          <w:p w:rsidR="00A14A49" w:rsidRPr="000B0DC0" w:rsidRDefault="00A14A49" w:rsidP="00D77A51">
            <w:pPr>
              <w:snapToGrid w:val="0"/>
              <w:jc w:val="both"/>
              <w:rPr>
                <w:rFonts w:ascii="Verdana" w:hAnsi="Verdana"/>
                <w:b/>
                <w:bCs/>
              </w:rPr>
            </w:pPr>
            <w:r w:rsidRPr="000B0DC0">
              <w:rPr>
                <w:rFonts w:ascii="Verdana" w:hAnsi="Verdana"/>
                <w:b/>
                <w:bCs/>
                <w:szCs w:val="22"/>
              </w:rPr>
              <w:t>Objectives</w:t>
            </w:r>
          </w:p>
        </w:tc>
        <w:tc>
          <w:tcPr>
            <w:tcW w:w="2161" w:type="dxa"/>
            <w:tcBorders>
              <w:top w:val="single" w:sz="4" w:space="0" w:color="000000"/>
              <w:left w:val="single" w:sz="4" w:space="0" w:color="000000"/>
              <w:bottom w:val="single" w:sz="4" w:space="0" w:color="000000"/>
            </w:tcBorders>
          </w:tcPr>
          <w:p w:rsidR="00A14A49" w:rsidRPr="000B0DC0" w:rsidRDefault="00A14A49" w:rsidP="00D77A51">
            <w:pPr>
              <w:snapToGrid w:val="0"/>
              <w:jc w:val="both"/>
              <w:rPr>
                <w:rFonts w:ascii="Verdana" w:hAnsi="Verdana"/>
                <w:b/>
                <w:bCs/>
              </w:rPr>
            </w:pPr>
            <w:r w:rsidRPr="000B0DC0">
              <w:rPr>
                <w:rFonts w:ascii="Verdana" w:hAnsi="Verdana"/>
                <w:b/>
                <w:bCs/>
                <w:szCs w:val="22"/>
              </w:rPr>
              <w:t>Activities</w:t>
            </w:r>
          </w:p>
        </w:tc>
        <w:tc>
          <w:tcPr>
            <w:tcW w:w="2181" w:type="dxa"/>
            <w:tcBorders>
              <w:top w:val="single" w:sz="4" w:space="0" w:color="000000"/>
              <w:left w:val="single" w:sz="4" w:space="0" w:color="000000"/>
              <w:bottom w:val="single" w:sz="4" w:space="0" w:color="000000"/>
              <w:right w:val="single" w:sz="4" w:space="0" w:color="000000"/>
            </w:tcBorders>
          </w:tcPr>
          <w:p w:rsidR="00A14A49" w:rsidRPr="000B0DC0" w:rsidRDefault="00A14A49" w:rsidP="00D77A51">
            <w:pPr>
              <w:snapToGrid w:val="0"/>
              <w:jc w:val="both"/>
              <w:rPr>
                <w:rFonts w:ascii="Verdana" w:hAnsi="Verdana"/>
                <w:b/>
                <w:bCs/>
              </w:rPr>
            </w:pPr>
            <w:r w:rsidRPr="000B0DC0">
              <w:rPr>
                <w:rFonts w:ascii="Verdana" w:hAnsi="Verdana"/>
                <w:b/>
                <w:bCs/>
                <w:szCs w:val="22"/>
              </w:rPr>
              <w:t>Sources</w:t>
            </w:r>
          </w:p>
        </w:tc>
      </w:tr>
      <w:tr w:rsidR="00A14A49" w:rsidRPr="000B0DC0" w:rsidTr="00D77A51">
        <w:tc>
          <w:tcPr>
            <w:tcW w:w="1384" w:type="dxa"/>
            <w:tcBorders>
              <w:top w:val="single" w:sz="4" w:space="0" w:color="000000"/>
              <w:left w:val="single" w:sz="4" w:space="0" w:color="000000"/>
              <w:bottom w:val="single" w:sz="4" w:space="0" w:color="000000"/>
            </w:tcBorders>
          </w:tcPr>
          <w:p w:rsidR="00A14A49" w:rsidRPr="000B0DC0" w:rsidRDefault="00A14A49" w:rsidP="00D77A51">
            <w:pPr>
              <w:snapToGrid w:val="0"/>
              <w:jc w:val="both"/>
              <w:rPr>
                <w:rFonts w:ascii="Verdana" w:hAnsi="Verdana"/>
                <w:bCs/>
              </w:rPr>
            </w:pPr>
            <w:r w:rsidRPr="000B0DC0">
              <w:rPr>
                <w:rFonts w:ascii="Verdana" w:hAnsi="Verdana"/>
                <w:bCs/>
                <w:szCs w:val="22"/>
              </w:rPr>
              <w:t>10 minutes</w:t>
            </w:r>
          </w:p>
        </w:tc>
        <w:tc>
          <w:tcPr>
            <w:tcW w:w="2938" w:type="dxa"/>
            <w:tcBorders>
              <w:top w:val="single" w:sz="4" w:space="0" w:color="000000"/>
              <w:left w:val="single" w:sz="4" w:space="0" w:color="000000"/>
              <w:bottom w:val="single" w:sz="4" w:space="0" w:color="000000"/>
            </w:tcBorders>
          </w:tcPr>
          <w:p w:rsidR="00A14A49" w:rsidRPr="000B0DC0" w:rsidRDefault="00A14A49" w:rsidP="00D77A51">
            <w:pPr>
              <w:numPr>
                <w:ilvl w:val="0"/>
                <w:numId w:val="4"/>
              </w:numPr>
              <w:tabs>
                <w:tab w:val="clear" w:pos="792"/>
                <w:tab w:val="num" w:pos="246"/>
              </w:tabs>
              <w:ind w:left="246" w:hanging="180"/>
              <w:rPr>
                <w:rFonts w:ascii="Verdana" w:hAnsi="Verdana"/>
                <w:bCs/>
                <w:lang w:val="en-GB"/>
              </w:rPr>
            </w:pPr>
            <w:r w:rsidRPr="000B0DC0">
              <w:rPr>
                <w:rFonts w:ascii="Verdana" w:hAnsi="Verdana"/>
                <w:bCs/>
                <w:szCs w:val="22"/>
                <w:lang w:val="en-GB"/>
              </w:rPr>
              <w:t xml:space="preserve">To introduce the concept of “intersectorality” and relevant applications to health care and health policies addressed to migrants and ethnic minorities.  </w:t>
            </w:r>
          </w:p>
        </w:tc>
        <w:tc>
          <w:tcPr>
            <w:tcW w:w="2161" w:type="dxa"/>
            <w:tcBorders>
              <w:top w:val="single" w:sz="4" w:space="0" w:color="000000"/>
              <w:left w:val="single" w:sz="4" w:space="0" w:color="000000"/>
              <w:bottom w:val="single" w:sz="4" w:space="0" w:color="000000"/>
            </w:tcBorders>
          </w:tcPr>
          <w:p w:rsidR="00A14A49" w:rsidRPr="000B0DC0" w:rsidRDefault="00A14A49" w:rsidP="00D77A51">
            <w:pPr>
              <w:rPr>
                <w:rFonts w:ascii="Verdana" w:hAnsi="Verdana"/>
                <w:bCs/>
                <w:lang w:val="en-GB"/>
              </w:rPr>
            </w:pPr>
            <w:r w:rsidRPr="000B0DC0">
              <w:rPr>
                <w:rFonts w:ascii="Verdana" w:hAnsi="Verdana"/>
                <w:b/>
                <w:bCs/>
                <w:szCs w:val="22"/>
                <w:lang w:val="en-GB"/>
              </w:rPr>
              <w:t xml:space="preserve">Presentation </w:t>
            </w:r>
            <w:r w:rsidRPr="000B0DC0">
              <w:rPr>
                <w:rFonts w:ascii="Verdana" w:hAnsi="Verdana"/>
                <w:bCs/>
                <w:szCs w:val="22"/>
                <w:lang w:val="en-GB"/>
              </w:rPr>
              <w:t>“Intersectoral Approach” and questions</w:t>
            </w:r>
          </w:p>
          <w:p w:rsidR="00A14A49" w:rsidRPr="000B0DC0" w:rsidRDefault="00A14A49" w:rsidP="00D77A51">
            <w:pPr>
              <w:rPr>
                <w:rFonts w:ascii="Verdana" w:hAnsi="Verdana"/>
                <w:bCs/>
                <w:i/>
                <w:lang w:val="en-GB"/>
              </w:rPr>
            </w:pPr>
            <w:r w:rsidRPr="000B0DC0">
              <w:rPr>
                <w:rFonts w:ascii="Verdana" w:hAnsi="Verdana"/>
                <w:bCs/>
                <w:i/>
                <w:szCs w:val="22"/>
                <w:lang w:val="en-GB"/>
              </w:rPr>
              <w:t>(Slides 1-10)</w:t>
            </w:r>
          </w:p>
        </w:tc>
        <w:tc>
          <w:tcPr>
            <w:tcW w:w="2181" w:type="dxa"/>
            <w:tcBorders>
              <w:top w:val="single" w:sz="4" w:space="0" w:color="000000"/>
              <w:left w:val="single" w:sz="4" w:space="0" w:color="000000"/>
              <w:bottom w:val="single" w:sz="4" w:space="0" w:color="000000"/>
              <w:right w:val="single" w:sz="4" w:space="0" w:color="000000"/>
            </w:tcBorders>
          </w:tcPr>
          <w:p w:rsidR="00A14A49" w:rsidRPr="000B0DC0" w:rsidRDefault="00A14A49" w:rsidP="00D77A51">
            <w:pPr>
              <w:snapToGrid w:val="0"/>
              <w:rPr>
                <w:rFonts w:ascii="Verdana" w:hAnsi="Verdana"/>
                <w:bCs/>
                <w:lang w:val="en-GB"/>
              </w:rPr>
            </w:pPr>
            <w:r w:rsidRPr="000B0DC0">
              <w:rPr>
                <w:rFonts w:ascii="Verdana" w:hAnsi="Verdana"/>
                <w:bCs/>
                <w:szCs w:val="22"/>
                <w:lang w:val="en-GB"/>
              </w:rPr>
              <w:t>Projector, laptop, screen.</w:t>
            </w:r>
          </w:p>
          <w:p w:rsidR="00A14A49" w:rsidRPr="000B0DC0" w:rsidRDefault="00A14A49" w:rsidP="00D77A51">
            <w:pPr>
              <w:rPr>
                <w:rFonts w:ascii="Verdana" w:hAnsi="Verdana"/>
                <w:bCs/>
                <w:lang w:val="en-GB"/>
              </w:rPr>
            </w:pPr>
            <w:r w:rsidRPr="000B0DC0">
              <w:rPr>
                <w:rFonts w:ascii="Verdana" w:hAnsi="Verdana"/>
                <w:bCs/>
                <w:szCs w:val="22"/>
                <w:lang w:val="en-GB"/>
              </w:rPr>
              <w:t>M4_U6_Presentation</w:t>
            </w:r>
          </w:p>
        </w:tc>
      </w:tr>
      <w:tr w:rsidR="00A14A49" w:rsidRPr="00F65D01" w:rsidTr="00D77A51">
        <w:tc>
          <w:tcPr>
            <w:tcW w:w="1384" w:type="dxa"/>
            <w:tcBorders>
              <w:top w:val="single" w:sz="4" w:space="0" w:color="000000"/>
              <w:left w:val="single" w:sz="4" w:space="0" w:color="000000"/>
              <w:bottom w:val="single" w:sz="4" w:space="0" w:color="000000"/>
            </w:tcBorders>
          </w:tcPr>
          <w:p w:rsidR="00A14A49" w:rsidRPr="000B0DC0" w:rsidRDefault="00A14A49" w:rsidP="00D77A51">
            <w:pPr>
              <w:snapToGrid w:val="0"/>
              <w:jc w:val="both"/>
              <w:rPr>
                <w:rFonts w:ascii="Verdana" w:hAnsi="Verdana"/>
                <w:bCs/>
                <w:lang w:val="en-GB"/>
              </w:rPr>
            </w:pPr>
            <w:r w:rsidRPr="000B0DC0">
              <w:rPr>
                <w:rFonts w:ascii="Verdana" w:hAnsi="Verdana"/>
                <w:bCs/>
                <w:szCs w:val="22"/>
                <w:lang w:val="en-GB"/>
              </w:rPr>
              <w:t>50 minutes</w:t>
            </w:r>
          </w:p>
        </w:tc>
        <w:tc>
          <w:tcPr>
            <w:tcW w:w="2938" w:type="dxa"/>
            <w:tcBorders>
              <w:top w:val="single" w:sz="4" w:space="0" w:color="000000"/>
              <w:left w:val="single" w:sz="4" w:space="0" w:color="000000"/>
              <w:bottom w:val="single" w:sz="4" w:space="0" w:color="000000"/>
            </w:tcBorders>
          </w:tcPr>
          <w:p w:rsidR="00A14A49" w:rsidRPr="000B0DC0" w:rsidRDefault="00A14A49" w:rsidP="00D77A51">
            <w:pPr>
              <w:numPr>
                <w:ilvl w:val="0"/>
                <w:numId w:val="4"/>
              </w:numPr>
              <w:tabs>
                <w:tab w:val="clear" w:pos="792"/>
                <w:tab w:val="num" w:pos="426"/>
              </w:tabs>
              <w:snapToGrid w:val="0"/>
              <w:ind w:left="426" w:hanging="360"/>
              <w:rPr>
                <w:rFonts w:ascii="Verdana" w:hAnsi="Verdana"/>
                <w:bCs/>
                <w:lang w:val="en-GB"/>
              </w:rPr>
            </w:pPr>
            <w:r w:rsidRPr="000B0DC0">
              <w:rPr>
                <w:rFonts w:ascii="Verdana" w:hAnsi="Verdana"/>
                <w:bCs/>
                <w:szCs w:val="22"/>
                <w:lang w:val="en-GB"/>
              </w:rPr>
              <w:t xml:space="preserve">To identify relevant stakeholders, resources, interactions, barriers and strategies for intersectoral action related to the health of migrants and ethnic minorities in the own context. </w:t>
            </w:r>
          </w:p>
        </w:tc>
        <w:tc>
          <w:tcPr>
            <w:tcW w:w="2161" w:type="dxa"/>
            <w:tcBorders>
              <w:top w:val="single" w:sz="4" w:space="0" w:color="000000"/>
              <w:left w:val="single" w:sz="4" w:space="0" w:color="000000"/>
              <w:bottom w:val="single" w:sz="4" w:space="0" w:color="000000"/>
            </w:tcBorders>
          </w:tcPr>
          <w:p w:rsidR="00A14A49" w:rsidRPr="000B0DC0" w:rsidRDefault="00A14A49" w:rsidP="00D77A51">
            <w:pPr>
              <w:snapToGrid w:val="0"/>
              <w:rPr>
                <w:rFonts w:ascii="Verdana" w:hAnsi="Verdana"/>
                <w:bCs/>
                <w:lang w:val="en-GB"/>
              </w:rPr>
            </w:pPr>
            <w:r w:rsidRPr="000B0DC0">
              <w:rPr>
                <w:rFonts w:ascii="Verdana" w:hAnsi="Verdana"/>
                <w:b/>
                <w:bCs/>
                <w:szCs w:val="22"/>
                <w:lang w:val="en-GB"/>
              </w:rPr>
              <w:t>Activity</w:t>
            </w:r>
            <w:r w:rsidRPr="000B0DC0">
              <w:rPr>
                <w:rFonts w:ascii="Verdana" w:hAnsi="Verdana"/>
                <w:bCs/>
                <w:szCs w:val="22"/>
                <w:lang w:val="en-GB"/>
              </w:rPr>
              <w:t xml:space="preserve"> “Mapping an Intersectoral Action”</w:t>
            </w:r>
          </w:p>
          <w:p w:rsidR="00A14A49" w:rsidRPr="000B0DC0" w:rsidRDefault="00A14A49" w:rsidP="00D77A51">
            <w:pPr>
              <w:snapToGrid w:val="0"/>
              <w:rPr>
                <w:rFonts w:ascii="Verdana" w:hAnsi="Verdana"/>
                <w:bCs/>
                <w:lang w:val="en-GB"/>
              </w:rPr>
            </w:pPr>
            <w:r w:rsidRPr="000B0DC0">
              <w:rPr>
                <w:rFonts w:ascii="Verdana" w:hAnsi="Verdana"/>
                <w:bCs/>
                <w:szCs w:val="22"/>
                <w:lang w:val="en-GB"/>
              </w:rPr>
              <w:t>in three parts:</w:t>
            </w:r>
          </w:p>
          <w:p w:rsidR="00A14A49" w:rsidRPr="000B0DC0" w:rsidRDefault="00A14A49" w:rsidP="00D77A51">
            <w:pPr>
              <w:numPr>
                <w:ilvl w:val="0"/>
                <w:numId w:val="2"/>
              </w:numPr>
              <w:tabs>
                <w:tab w:val="clear" w:pos="936"/>
                <w:tab w:val="num" w:pos="368"/>
              </w:tabs>
              <w:snapToGrid w:val="0"/>
              <w:ind w:left="368" w:hanging="360"/>
              <w:rPr>
                <w:rFonts w:ascii="Verdana" w:hAnsi="Verdana"/>
                <w:bCs/>
                <w:lang w:val="en-GB"/>
              </w:rPr>
            </w:pPr>
            <w:r w:rsidRPr="000B0DC0">
              <w:rPr>
                <w:rFonts w:ascii="Verdana" w:hAnsi="Verdana"/>
                <w:bCs/>
                <w:szCs w:val="22"/>
                <w:lang w:val="en-GB"/>
              </w:rPr>
              <w:t xml:space="preserve">Presentation of the methodology </w:t>
            </w:r>
          </w:p>
          <w:p w:rsidR="00A14A49" w:rsidRPr="000B0DC0" w:rsidRDefault="00A14A49" w:rsidP="00D77A51">
            <w:pPr>
              <w:numPr>
                <w:ilvl w:val="0"/>
                <w:numId w:val="2"/>
              </w:numPr>
              <w:tabs>
                <w:tab w:val="clear" w:pos="936"/>
                <w:tab w:val="num" w:pos="368"/>
              </w:tabs>
              <w:snapToGrid w:val="0"/>
              <w:ind w:left="368" w:hanging="360"/>
              <w:rPr>
                <w:rFonts w:ascii="Verdana" w:hAnsi="Verdana"/>
                <w:bCs/>
                <w:lang w:val="en-GB"/>
              </w:rPr>
            </w:pPr>
            <w:r w:rsidRPr="000B0DC0">
              <w:rPr>
                <w:rFonts w:ascii="Verdana" w:hAnsi="Verdana"/>
                <w:bCs/>
                <w:szCs w:val="22"/>
                <w:lang w:val="en-GB"/>
              </w:rPr>
              <w:t>Mapping activity (in subgroups)</w:t>
            </w:r>
          </w:p>
          <w:p w:rsidR="00A14A49" w:rsidRPr="000B0DC0" w:rsidRDefault="00A14A49" w:rsidP="00D77A51">
            <w:pPr>
              <w:numPr>
                <w:ilvl w:val="0"/>
                <w:numId w:val="2"/>
              </w:numPr>
              <w:tabs>
                <w:tab w:val="clear" w:pos="936"/>
                <w:tab w:val="num" w:pos="368"/>
              </w:tabs>
              <w:snapToGrid w:val="0"/>
              <w:ind w:left="368" w:hanging="360"/>
              <w:rPr>
                <w:rFonts w:ascii="Verdana" w:hAnsi="Verdana"/>
                <w:bCs/>
                <w:lang w:val="en-GB"/>
              </w:rPr>
            </w:pPr>
            <w:r w:rsidRPr="000B0DC0">
              <w:rPr>
                <w:rFonts w:ascii="Verdana" w:hAnsi="Verdana"/>
                <w:bCs/>
                <w:szCs w:val="22"/>
                <w:lang w:val="en-GB"/>
              </w:rPr>
              <w:t xml:space="preserve">Wrap up and discussion in plenary </w:t>
            </w:r>
          </w:p>
          <w:p w:rsidR="00A14A49" w:rsidRPr="000B0DC0" w:rsidRDefault="00A14A49" w:rsidP="00342908">
            <w:pPr>
              <w:snapToGrid w:val="0"/>
              <w:ind w:left="8"/>
              <w:rPr>
                <w:rFonts w:ascii="Verdana" w:hAnsi="Verdana"/>
                <w:bCs/>
                <w:i/>
                <w:lang w:val="en-GB"/>
              </w:rPr>
            </w:pPr>
            <w:r w:rsidRPr="000B0DC0">
              <w:rPr>
                <w:rFonts w:ascii="Verdana" w:hAnsi="Verdana"/>
                <w:bCs/>
                <w:i/>
                <w:szCs w:val="22"/>
                <w:lang w:val="en-GB"/>
              </w:rPr>
              <w:t>(Slide 11)</w:t>
            </w:r>
          </w:p>
        </w:tc>
        <w:tc>
          <w:tcPr>
            <w:tcW w:w="2181" w:type="dxa"/>
            <w:tcBorders>
              <w:top w:val="single" w:sz="4" w:space="0" w:color="000000"/>
              <w:left w:val="single" w:sz="4" w:space="0" w:color="000000"/>
              <w:bottom w:val="single" w:sz="4" w:space="0" w:color="000000"/>
              <w:right w:val="single" w:sz="4" w:space="0" w:color="000000"/>
            </w:tcBorders>
          </w:tcPr>
          <w:p w:rsidR="00A14A49" w:rsidRPr="000B0DC0" w:rsidRDefault="00A14A49" w:rsidP="00D77A51">
            <w:pPr>
              <w:snapToGrid w:val="0"/>
              <w:rPr>
                <w:rFonts w:ascii="Verdana" w:hAnsi="Verdana"/>
                <w:bCs/>
                <w:lang w:val="en-GB"/>
              </w:rPr>
            </w:pPr>
            <w:r w:rsidRPr="000B0DC0">
              <w:rPr>
                <w:rFonts w:ascii="Verdana" w:hAnsi="Verdana"/>
                <w:bCs/>
                <w:szCs w:val="22"/>
                <w:lang w:val="en-GB"/>
              </w:rPr>
              <w:t>Projector, laptop, screen.</w:t>
            </w:r>
          </w:p>
          <w:p w:rsidR="00A14A49" w:rsidRPr="000B0DC0" w:rsidRDefault="00A14A49" w:rsidP="00D77A51">
            <w:pPr>
              <w:snapToGrid w:val="0"/>
              <w:rPr>
                <w:rFonts w:ascii="Verdana" w:hAnsi="Verdana"/>
                <w:bCs/>
                <w:lang w:val="en-GB"/>
              </w:rPr>
            </w:pPr>
          </w:p>
          <w:p w:rsidR="00A14A49" w:rsidRPr="000B0DC0" w:rsidRDefault="00A14A49" w:rsidP="00D77A51">
            <w:pPr>
              <w:snapToGrid w:val="0"/>
              <w:rPr>
                <w:rFonts w:ascii="Verdana" w:hAnsi="Verdana"/>
                <w:bCs/>
                <w:lang w:val="en-GB"/>
              </w:rPr>
            </w:pPr>
            <w:r w:rsidRPr="000B0DC0">
              <w:rPr>
                <w:rFonts w:ascii="Verdana" w:hAnsi="Verdana"/>
                <w:bCs/>
                <w:szCs w:val="22"/>
                <w:lang w:val="en-GB"/>
              </w:rPr>
              <w:t>Paper, cards, markers, scissors, adhesive</w:t>
            </w:r>
          </w:p>
          <w:p w:rsidR="00A14A49" w:rsidRPr="000B0DC0" w:rsidRDefault="00A14A49" w:rsidP="00D77A51">
            <w:pPr>
              <w:snapToGrid w:val="0"/>
              <w:rPr>
                <w:rFonts w:ascii="Verdana" w:hAnsi="Verdana"/>
                <w:bCs/>
                <w:lang w:val="en-GB"/>
              </w:rPr>
            </w:pPr>
          </w:p>
          <w:p w:rsidR="00A14A49" w:rsidRPr="000B0DC0" w:rsidRDefault="00A14A49" w:rsidP="00D77A51">
            <w:pPr>
              <w:snapToGrid w:val="0"/>
              <w:rPr>
                <w:rFonts w:ascii="Verdana" w:hAnsi="Verdana"/>
                <w:bCs/>
                <w:lang w:val="en-GB"/>
              </w:rPr>
            </w:pPr>
          </w:p>
        </w:tc>
      </w:tr>
    </w:tbl>
    <w:p w:rsidR="00A14A49" w:rsidRPr="000B0DC0" w:rsidRDefault="00A14A49" w:rsidP="00D77A51">
      <w:pPr>
        <w:rPr>
          <w:rFonts w:ascii="Verdana" w:hAnsi="Verdana"/>
          <w:b/>
          <w:color w:val="000080"/>
          <w:sz w:val="24"/>
          <w:lang w:val="en-GB"/>
        </w:rPr>
      </w:pPr>
    </w:p>
    <w:p w:rsidR="00A14A49" w:rsidRPr="000B0DC0" w:rsidRDefault="00A14A49" w:rsidP="00D77A51">
      <w:pPr>
        <w:rPr>
          <w:rFonts w:ascii="Verdana" w:hAnsi="Verdana"/>
          <w:b/>
          <w:color w:val="000080"/>
          <w:szCs w:val="22"/>
          <w:lang w:val="en-GB"/>
        </w:rPr>
      </w:pPr>
    </w:p>
    <w:p w:rsidR="00A14A49" w:rsidRPr="000B0DC0" w:rsidRDefault="00A14A49" w:rsidP="00D77A51">
      <w:pPr>
        <w:numPr>
          <w:ilvl w:val="0"/>
          <w:numId w:val="1"/>
        </w:numPr>
        <w:rPr>
          <w:rFonts w:ascii="Verdana" w:hAnsi="Verdana"/>
          <w:b/>
          <w:color w:val="000080"/>
          <w:szCs w:val="22"/>
          <w:lang w:val="en-GB"/>
        </w:rPr>
      </w:pPr>
      <w:r w:rsidRPr="000B0DC0">
        <w:rPr>
          <w:rFonts w:ascii="Verdana" w:hAnsi="Verdana"/>
          <w:b/>
          <w:color w:val="000080"/>
          <w:szCs w:val="22"/>
          <w:lang w:val="en-GB"/>
        </w:rPr>
        <w:t>Presentation</w:t>
      </w:r>
    </w:p>
    <w:p w:rsidR="00A14A49" w:rsidRPr="000B0DC0" w:rsidRDefault="00A14A49" w:rsidP="00D77A51">
      <w:pPr>
        <w:rPr>
          <w:rFonts w:ascii="Verdana" w:hAnsi="Verdana"/>
          <w:b/>
          <w:sz w:val="24"/>
          <w:lang w:val="en-GB"/>
        </w:rPr>
      </w:pPr>
    </w:p>
    <w:p w:rsidR="00A14A49" w:rsidRPr="000B0DC0" w:rsidRDefault="00A14A49" w:rsidP="00D77A51">
      <w:pPr>
        <w:jc w:val="both"/>
        <w:rPr>
          <w:rFonts w:ascii="Verdana" w:hAnsi="Verdana"/>
          <w:lang w:val="en-GB"/>
        </w:rPr>
      </w:pPr>
      <w:r w:rsidRPr="000B0DC0">
        <w:rPr>
          <w:rFonts w:ascii="Verdana" w:hAnsi="Verdana"/>
          <w:b/>
          <w:lang w:val="en-GB"/>
        </w:rPr>
        <w:t xml:space="preserve">Slide 1: </w:t>
      </w:r>
      <w:r w:rsidRPr="000B0DC0">
        <w:rPr>
          <w:rFonts w:ascii="Verdana" w:hAnsi="Verdana"/>
          <w:lang w:val="en-GB"/>
        </w:rPr>
        <w:t xml:space="preserve"> Title page</w:t>
      </w:r>
    </w:p>
    <w:p w:rsidR="00A14A49" w:rsidRPr="000B0DC0" w:rsidRDefault="00A14A49" w:rsidP="00D77A51">
      <w:pPr>
        <w:jc w:val="both"/>
        <w:rPr>
          <w:rFonts w:ascii="Verdana" w:hAnsi="Verdana"/>
          <w:lang w:val="en-GB"/>
        </w:rPr>
      </w:pPr>
    </w:p>
    <w:p w:rsidR="00A14A49" w:rsidRPr="000B0DC0" w:rsidRDefault="00A14A49" w:rsidP="00D77A51">
      <w:pPr>
        <w:jc w:val="both"/>
        <w:rPr>
          <w:rFonts w:ascii="Verdana" w:hAnsi="Verdana"/>
          <w:lang w:val="en-GB"/>
        </w:rPr>
      </w:pPr>
      <w:r w:rsidRPr="000B0DC0">
        <w:rPr>
          <w:rFonts w:ascii="Verdana" w:hAnsi="Verdana"/>
          <w:b/>
          <w:lang w:val="en-GB"/>
        </w:rPr>
        <w:t>Slide 2:</w:t>
      </w:r>
      <w:r w:rsidRPr="000B0DC0">
        <w:rPr>
          <w:rFonts w:ascii="Verdana" w:hAnsi="Verdana"/>
          <w:lang w:val="en-GB"/>
        </w:rPr>
        <w:t xml:space="preserve"> Outline of the session</w:t>
      </w:r>
    </w:p>
    <w:p w:rsidR="00A14A49" w:rsidRPr="000B0DC0" w:rsidRDefault="00A14A49" w:rsidP="00D77A51">
      <w:pPr>
        <w:jc w:val="both"/>
        <w:rPr>
          <w:rFonts w:ascii="Verdana" w:hAnsi="Verdana"/>
          <w:lang w:val="en-GB"/>
        </w:rPr>
      </w:pPr>
    </w:p>
    <w:p w:rsidR="00A14A49" w:rsidRPr="000B0DC0" w:rsidRDefault="00A14A49" w:rsidP="00D77A51">
      <w:pPr>
        <w:jc w:val="both"/>
        <w:rPr>
          <w:rFonts w:ascii="Verdana" w:hAnsi="Verdana"/>
          <w:i/>
          <w:lang w:val="en-US"/>
        </w:rPr>
      </w:pPr>
      <w:r w:rsidRPr="000B0DC0">
        <w:rPr>
          <w:rFonts w:ascii="Verdana" w:hAnsi="Verdana"/>
          <w:b/>
          <w:lang w:val="en-GB"/>
        </w:rPr>
        <w:t xml:space="preserve">Slide 3: </w:t>
      </w:r>
      <w:r w:rsidRPr="000B0DC0">
        <w:rPr>
          <w:rFonts w:ascii="Verdana" w:hAnsi="Verdana"/>
          <w:lang w:val="en-GB"/>
        </w:rPr>
        <w:t>“Intersectoral action for health” has been defined as follows:</w:t>
      </w:r>
    </w:p>
    <w:p w:rsidR="00A14A49" w:rsidRPr="000B0DC0" w:rsidRDefault="00A14A49" w:rsidP="00D77A51">
      <w:pPr>
        <w:jc w:val="both"/>
        <w:rPr>
          <w:rFonts w:ascii="Verdana" w:hAnsi="Verdana"/>
          <w:lang w:val="en-GB"/>
        </w:rPr>
      </w:pPr>
    </w:p>
    <w:p w:rsidR="00A14A49" w:rsidRPr="000B0DC0" w:rsidRDefault="00A14A49" w:rsidP="00D77A51">
      <w:pPr>
        <w:ind w:left="567" w:right="567"/>
        <w:jc w:val="both"/>
        <w:rPr>
          <w:rFonts w:ascii="Verdana" w:hAnsi="Verdana"/>
          <w:sz w:val="20"/>
          <w:szCs w:val="20"/>
          <w:lang w:val="en-GB"/>
        </w:rPr>
      </w:pPr>
      <w:r w:rsidRPr="000B0DC0">
        <w:rPr>
          <w:rFonts w:ascii="Verdana" w:hAnsi="Verdana"/>
          <w:bCs/>
          <w:sz w:val="20"/>
          <w:szCs w:val="20"/>
          <w:lang w:val="en-US"/>
        </w:rPr>
        <w:t xml:space="preserve">Intersectoral action for health </w:t>
      </w:r>
      <w:r w:rsidRPr="000B0DC0">
        <w:rPr>
          <w:rFonts w:ascii="Verdana" w:hAnsi="Verdana"/>
          <w:sz w:val="20"/>
          <w:szCs w:val="20"/>
          <w:lang w:val="en-US"/>
        </w:rPr>
        <w:t>could be defined as a coordinated action that explicitly aims to improve people’s health or influence determinants of health. Intersectoral action for health is seen as central to the achievement of greater equity in health, especially where progress depends upon decisions and actions in other sectors.</w:t>
      </w:r>
      <w:r w:rsidRPr="000B0DC0">
        <w:rPr>
          <w:rStyle w:val="FootnoteReference"/>
          <w:rFonts w:ascii="Verdana" w:hAnsi="Verdana"/>
          <w:lang w:val="en-GB"/>
        </w:rPr>
        <w:t xml:space="preserve"> </w:t>
      </w:r>
      <w:r w:rsidRPr="000B0DC0">
        <w:rPr>
          <w:rStyle w:val="FootnoteReference"/>
          <w:rFonts w:ascii="Verdana" w:hAnsi="Verdana"/>
          <w:lang w:val="en-GB"/>
        </w:rPr>
        <w:footnoteReference w:id="1"/>
      </w:r>
    </w:p>
    <w:p w:rsidR="00A14A49" w:rsidRPr="000B0DC0" w:rsidRDefault="00A14A49" w:rsidP="00D77A51">
      <w:pPr>
        <w:ind w:left="567" w:right="567"/>
        <w:jc w:val="both"/>
        <w:rPr>
          <w:rFonts w:ascii="Verdana" w:hAnsi="Verdana"/>
          <w:sz w:val="20"/>
          <w:szCs w:val="20"/>
          <w:lang w:val="en-GB"/>
        </w:rPr>
      </w:pPr>
    </w:p>
    <w:p w:rsidR="00A14A49" w:rsidRPr="000B0DC0" w:rsidRDefault="00A14A49" w:rsidP="00D77A51">
      <w:pPr>
        <w:ind w:left="567" w:right="567"/>
        <w:jc w:val="both"/>
        <w:rPr>
          <w:rFonts w:ascii="Verdana" w:hAnsi="Verdana"/>
          <w:sz w:val="20"/>
          <w:szCs w:val="20"/>
          <w:lang w:val="en-GB"/>
        </w:rPr>
      </w:pPr>
      <w:r w:rsidRPr="000B0DC0">
        <w:rPr>
          <w:rFonts w:ascii="Verdana" w:hAnsi="Verdana"/>
          <w:sz w:val="20"/>
          <w:szCs w:val="20"/>
          <w:lang w:val="en-US"/>
        </w:rPr>
        <w:t xml:space="preserve">We understand </w:t>
      </w:r>
      <w:r w:rsidRPr="000B0DC0">
        <w:rPr>
          <w:rFonts w:ascii="Verdana" w:hAnsi="Verdana"/>
          <w:bCs/>
          <w:sz w:val="20"/>
          <w:szCs w:val="20"/>
          <w:lang w:val="en-US"/>
        </w:rPr>
        <w:t xml:space="preserve">“intersectoral action for health” </w:t>
      </w:r>
      <w:r w:rsidRPr="000B0DC0">
        <w:rPr>
          <w:rFonts w:ascii="Verdana" w:hAnsi="Verdana"/>
          <w:sz w:val="20"/>
          <w:szCs w:val="20"/>
          <w:lang w:val="en-US"/>
        </w:rPr>
        <w:t>to refer to actions undertaken by sectors outside the health sector, possibly, but not necessarily, in collaboration with the health sector, on health or health equity outcomes or on the determinants of health or health equity.</w:t>
      </w:r>
      <w:r w:rsidRPr="000B0DC0">
        <w:rPr>
          <w:rStyle w:val="FootnoteReference"/>
          <w:rFonts w:ascii="Verdana" w:hAnsi="Verdana"/>
          <w:i/>
          <w:lang w:val="en-GB"/>
        </w:rPr>
        <w:t xml:space="preserve"> </w:t>
      </w:r>
      <w:r w:rsidRPr="000B0DC0">
        <w:rPr>
          <w:rStyle w:val="FootnoteReference"/>
          <w:rFonts w:ascii="Verdana" w:hAnsi="Verdana"/>
          <w:lang w:val="en-GB"/>
        </w:rPr>
        <w:footnoteReference w:id="2"/>
      </w:r>
    </w:p>
    <w:p w:rsidR="00A14A49" w:rsidRPr="000B0DC0" w:rsidRDefault="00A14A49" w:rsidP="00D77A51">
      <w:pPr>
        <w:ind w:left="567" w:right="567"/>
        <w:jc w:val="both"/>
        <w:rPr>
          <w:rFonts w:ascii="Verdana" w:hAnsi="Verdana"/>
          <w:sz w:val="20"/>
          <w:szCs w:val="20"/>
          <w:lang w:val="en-GB"/>
        </w:rPr>
      </w:pPr>
    </w:p>
    <w:p w:rsidR="00A14A49" w:rsidRPr="000B0DC0" w:rsidRDefault="00A14A49" w:rsidP="00BD0C3F">
      <w:pPr>
        <w:jc w:val="both"/>
        <w:rPr>
          <w:rFonts w:ascii="Verdana" w:hAnsi="Verdana"/>
          <w:lang w:val="en-GB"/>
        </w:rPr>
      </w:pPr>
      <w:r w:rsidRPr="000B0DC0">
        <w:rPr>
          <w:rFonts w:ascii="Verdana" w:hAnsi="Verdana"/>
          <w:b/>
          <w:lang w:val="en-GB"/>
        </w:rPr>
        <w:t>Slide 4: Intersectoral action</w:t>
      </w:r>
      <w:r w:rsidRPr="000B0DC0">
        <w:rPr>
          <w:rFonts w:ascii="Verdana" w:hAnsi="Verdana"/>
          <w:lang w:val="en-GB"/>
        </w:rPr>
        <w:t xml:space="preserve"> is conceptualized as being related to a model of </w:t>
      </w:r>
      <w:r w:rsidRPr="000B0DC0">
        <w:rPr>
          <w:rFonts w:ascii="Verdana" w:hAnsi="Verdana"/>
          <w:b/>
          <w:lang w:val="en-GB"/>
        </w:rPr>
        <w:t xml:space="preserve">social determinants of health </w:t>
      </w:r>
      <w:r w:rsidRPr="000B0DC0">
        <w:rPr>
          <w:rFonts w:ascii="Verdana" w:hAnsi="Verdana"/>
          <w:lang w:val="en-GB"/>
        </w:rPr>
        <w:t xml:space="preserve">and </w:t>
      </w:r>
      <w:r w:rsidRPr="000B0DC0">
        <w:rPr>
          <w:rFonts w:ascii="Verdana" w:hAnsi="Verdana"/>
          <w:b/>
          <w:lang w:val="en-GB"/>
        </w:rPr>
        <w:t>policies aimed at reducing health equalities.</w:t>
      </w:r>
    </w:p>
    <w:p w:rsidR="00A14A49" w:rsidRPr="000B0DC0" w:rsidRDefault="00A14A49" w:rsidP="00BD0C3F">
      <w:pPr>
        <w:jc w:val="both"/>
        <w:rPr>
          <w:rFonts w:ascii="Verdana" w:hAnsi="Verdana"/>
          <w:sz w:val="20"/>
          <w:szCs w:val="20"/>
          <w:lang w:val="en-GB"/>
        </w:rPr>
      </w:pPr>
      <w:r w:rsidRPr="000B0DC0">
        <w:rPr>
          <w:rFonts w:ascii="Verdana" w:hAnsi="Verdana"/>
          <w:lang w:val="en-GB"/>
        </w:rPr>
        <w:t xml:space="preserve">Furthermore, intersectoral action is considered as one of the core features of a </w:t>
      </w:r>
      <w:r w:rsidRPr="000B0DC0">
        <w:rPr>
          <w:rFonts w:ascii="Verdana" w:hAnsi="Verdana"/>
          <w:b/>
          <w:i/>
          <w:lang w:val="en-GB"/>
        </w:rPr>
        <w:t>“Health in All Policies Framework</w:t>
      </w:r>
      <w:r w:rsidRPr="000B0DC0">
        <w:rPr>
          <w:rFonts w:ascii="Verdana" w:hAnsi="Verdana"/>
          <w:i/>
          <w:lang w:val="en-GB"/>
        </w:rPr>
        <w:t>”</w:t>
      </w:r>
      <w:r w:rsidRPr="000B0DC0">
        <w:rPr>
          <w:rStyle w:val="FootnoteReference"/>
          <w:rFonts w:ascii="Verdana" w:hAnsi="Verdana"/>
          <w:i/>
          <w:lang w:val="en-GB"/>
        </w:rPr>
        <w:footnoteReference w:id="3"/>
      </w:r>
      <w:r w:rsidRPr="000B0DC0">
        <w:rPr>
          <w:rFonts w:ascii="Verdana" w:hAnsi="Verdana"/>
          <w:i/>
          <w:vertAlign w:val="superscript"/>
          <w:lang w:val="en-GB"/>
        </w:rPr>
        <w:t>,</w:t>
      </w:r>
      <w:r w:rsidRPr="000B0DC0">
        <w:rPr>
          <w:rStyle w:val="FootnoteReference"/>
          <w:rFonts w:ascii="Verdana" w:hAnsi="Verdana"/>
          <w:i/>
          <w:lang w:val="en-GB"/>
        </w:rPr>
        <w:footnoteReference w:id="4"/>
      </w:r>
      <w:r w:rsidRPr="000B0DC0">
        <w:rPr>
          <w:rFonts w:ascii="Verdana" w:hAnsi="Verdana"/>
          <w:i/>
          <w:vertAlign w:val="superscript"/>
          <w:lang w:val="en-GB"/>
        </w:rPr>
        <w:t>,</w:t>
      </w:r>
      <w:r w:rsidRPr="000B0DC0">
        <w:rPr>
          <w:rStyle w:val="FootnoteReference"/>
          <w:rFonts w:ascii="Verdana" w:hAnsi="Verdana"/>
          <w:i/>
          <w:lang w:val="en-GB"/>
        </w:rPr>
        <w:footnoteReference w:id="5"/>
      </w:r>
      <w:r w:rsidRPr="000B0DC0">
        <w:rPr>
          <w:rFonts w:ascii="Verdana" w:hAnsi="Verdana"/>
          <w:i/>
          <w:vertAlign w:val="superscript"/>
          <w:lang w:val="en-GB"/>
        </w:rPr>
        <w:t>,</w:t>
      </w:r>
      <w:r w:rsidRPr="000B0DC0">
        <w:rPr>
          <w:rStyle w:val="FootnoteReference"/>
          <w:rFonts w:ascii="Verdana" w:hAnsi="Verdana"/>
          <w:i/>
          <w:lang w:val="en-GB"/>
        </w:rPr>
        <w:footnoteReference w:id="6"/>
      </w:r>
      <w:r w:rsidRPr="000B0DC0">
        <w:rPr>
          <w:rFonts w:ascii="Verdana" w:hAnsi="Verdana"/>
          <w:i/>
          <w:vertAlign w:val="superscript"/>
          <w:lang w:val="en-GB"/>
        </w:rPr>
        <w:t>,</w:t>
      </w:r>
      <w:r w:rsidRPr="000B0DC0">
        <w:rPr>
          <w:rStyle w:val="FootnoteReference"/>
          <w:rFonts w:ascii="Verdana" w:hAnsi="Verdana"/>
          <w:i/>
          <w:lang w:val="en-GB"/>
        </w:rPr>
        <w:footnoteReference w:id="7"/>
      </w:r>
      <w:r w:rsidRPr="000B0DC0">
        <w:rPr>
          <w:rFonts w:ascii="Verdana" w:hAnsi="Verdana"/>
          <w:i/>
          <w:vertAlign w:val="superscript"/>
          <w:lang w:val="en-GB"/>
        </w:rPr>
        <w:t>,</w:t>
      </w:r>
      <w:r w:rsidRPr="000B0DC0">
        <w:rPr>
          <w:rStyle w:val="FootnoteReference"/>
          <w:rFonts w:ascii="Verdana" w:hAnsi="Verdana"/>
          <w:i/>
          <w:lang w:val="en-GB"/>
        </w:rPr>
        <w:footnoteReference w:id="8"/>
      </w:r>
      <w:r w:rsidRPr="000B0DC0">
        <w:rPr>
          <w:rFonts w:ascii="Verdana" w:hAnsi="Verdana"/>
          <w:i/>
          <w:vertAlign w:val="superscript"/>
          <w:lang w:val="en-GB"/>
        </w:rPr>
        <w:t>,</w:t>
      </w:r>
      <w:r w:rsidRPr="000B0DC0">
        <w:rPr>
          <w:rStyle w:val="FootnoteReference"/>
          <w:rFonts w:ascii="Verdana" w:hAnsi="Verdana"/>
          <w:i/>
          <w:lang w:val="en-GB"/>
        </w:rPr>
        <w:footnoteReference w:id="9"/>
      </w:r>
      <w:r w:rsidRPr="000B0DC0">
        <w:rPr>
          <w:rFonts w:ascii="Verdana" w:hAnsi="Verdana"/>
          <w:vertAlign w:val="superscript"/>
          <w:lang w:val="en-GB"/>
        </w:rPr>
        <w:t>,</w:t>
      </w:r>
      <w:r w:rsidRPr="000B0DC0">
        <w:rPr>
          <w:rStyle w:val="FootnoteReference"/>
          <w:rFonts w:ascii="Verdana" w:hAnsi="Verdana"/>
          <w:i/>
          <w:lang w:val="en-GB"/>
        </w:rPr>
        <w:footnoteReference w:id="10"/>
      </w:r>
      <w:r w:rsidRPr="000B0DC0">
        <w:rPr>
          <w:rFonts w:ascii="Verdana" w:hAnsi="Verdana"/>
          <w:i/>
          <w:vertAlign w:val="superscript"/>
          <w:lang w:val="en-GB"/>
        </w:rPr>
        <w:t>,</w:t>
      </w:r>
      <w:r w:rsidRPr="000B0DC0">
        <w:rPr>
          <w:rStyle w:val="FootnoteReference"/>
          <w:rFonts w:ascii="Verdana" w:hAnsi="Verdana"/>
          <w:i/>
          <w:lang w:val="en-GB"/>
        </w:rPr>
        <w:footnoteReference w:id="11"/>
      </w:r>
      <w:r w:rsidRPr="000B0DC0">
        <w:rPr>
          <w:rFonts w:ascii="Verdana" w:hAnsi="Verdana"/>
          <w:i/>
          <w:lang w:val="en-GB"/>
        </w:rPr>
        <w:t xml:space="preserve">. </w:t>
      </w:r>
    </w:p>
    <w:p w:rsidR="00A14A49" w:rsidRPr="000B0DC0" w:rsidRDefault="00A14A49" w:rsidP="00D77A51">
      <w:pPr>
        <w:jc w:val="both"/>
        <w:rPr>
          <w:rFonts w:ascii="Verdana" w:hAnsi="Verdana"/>
          <w:lang w:val="en-GB"/>
        </w:rPr>
      </w:pPr>
    </w:p>
    <w:p w:rsidR="00A14A49" w:rsidRPr="000B0DC0" w:rsidRDefault="00A14A49" w:rsidP="00D77A51">
      <w:pPr>
        <w:jc w:val="both"/>
        <w:rPr>
          <w:rFonts w:ascii="Verdana" w:hAnsi="Verdana"/>
          <w:lang w:val="en-US"/>
        </w:rPr>
      </w:pPr>
      <w:r w:rsidRPr="000B0DC0">
        <w:rPr>
          <w:rFonts w:ascii="Verdana" w:hAnsi="Verdana"/>
          <w:i/>
          <w:lang w:val="en-GB"/>
        </w:rPr>
        <w:t>“Health in All Policies (HiAP)”</w:t>
      </w:r>
      <w:r w:rsidRPr="000B0DC0">
        <w:rPr>
          <w:rFonts w:ascii="Verdana" w:hAnsi="Verdana"/>
          <w:lang w:val="en-GB"/>
        </w:rPr>
        <w:t xml:space="preserve"> is defined as </w:t>
      </w:r>
      <w:r w:rsidRPr="000B0DC0">
        <w:rPr>
          <w:rFonts w:ascii="Verdana" w:hAnsi="Verdana"/>
          <w:i/>
          <w:lang w:val="en-GB"/>
        </w:rPr>
        <w:t>“</w:t>
      </w:r>
      <w:r w:rsidRPr="000B0DC0">
        <w:rPr>
          <w:rFonts w:ascii="Verdana" w:hAnsi="Verdana"/>
          <w:i/>
          <w:lang w:val="en-US"/>
        </w:rPr>
        <w:t>a policy strategy which targets the key social determinants of health through integrated policy responses across all relevant policy areas”</w:t>
      </w:r>
      <w:r w:rsidRPr="000B0DC0">
        <w:rPr>
          <w:rStyle w:val="FootnoteReference"/>
          <w:rFonts w:ascii="Verdana" w:hAnsi="Verdana"/>
          <w:i/>
          <w:lang w:val="en-GB"/>
        </w:rPr>
        <w:t xml:space="preserve"> </w:t>
      </w:r>
      <w:r w:rsidRPr="000B0DC0">
        <w:rPr>
          <w:rStyle w:val="FootnoteReference"/>
          <w:rFonts w:ascii="Verdana" w:hAnsi="Verdana"/>
          <w:i/>
          <w:lang w:val="en-GB"/>
        </w:rPr>
        <w:footnoteReference w:id="12"/>
      </w:r>
      <w:r w:rsidRPr="000B0DC0">
        <w:rPr>
          <w:rFonts w:ascii="Verdana" w:hAnsi="Verdana"/>
          <w:i/>
          <w:lang w:val="en-US"/>
        </w:rPr>
        <w:t>.</w:t>
      </w:r>
    </w:p>
    <w:p w:rsidR="00A14A49" w:rsidRPr="000B0DC0" w:rsidRDefault="00A14A49" w:rsidP="00D77A51">
      <w:pPr>
        <w:jc w:val="both"/>
        <w:rPr>
          <w:rFonts w:ascii="Verdana" w:hAnsi="Verdana"/>
          <w:lang w:val="en-US"/>
        </w:rPr>
      </w:pPr>
    </w:p>
    <w:p w:rsidR="00A14A49" w:rsidRPr="000B0DC0" w:rsidRDefault="00A14A49" w:rsidP="00D77A51">
      <w:pPr>
        <w:jc w:val="both"/>
        <w:rPr>
          <w:rFonts w:ascii="Verdana" w:hAnsi="Verdana"/>
          <w:lang w:val="en-US"/>
        </w:rPr>
      </w:pPr>
      <w:r w:rsidRPr="000B0DC0">
        <w:rPr>
          <w:rFonts w:ascii="Verdana" w:hAnsi="Verdana"/>
          <w:b/>
          <w:lang w:val="en-US"/>
        </w:rPr>
        <w:t>Intersectoral action</w:t>
      </w:r>
      <w:r w:rsidRPr="000B0DC0">
        <w:rPr>
          <w:rFonts w:ascii="Verdana" w:hAnsi="Verdana"/>
          <w:lang w:val="en-US"/>
        </w:rPr>
        <w:t xml:space="preserve"> is being developed and implemented on an international, European, national, regional or community level, with the participation of multiple institutions and stakeholders, among them International, European, national or regional or local institutions in the health, social and educational sector, legislative bodies, professional associations, civil society organizations, media, citizenship, etc.</w:t>
      </w:r>
    </w:p>
    <w:p w:rsidR="00A14A49" w:rsidRPr="000B0DC0" w:rsidRDefault="00A14A49" w:rsidP="00D77A51">
      <w:pPr>
        <w:jc w:val="both"/>
        <w:rPr>
          <w:rFonts w:ascii="Verdana" w:hAnsi="Verdana"/>
          <w:b/>
          <w:lang w:val="en-GB"/>
        </w:rPr>
      </w:pPr>
    </w:p>
    <w:p w:rsidR="00A14A49" w:rsidRPr="000B0DC0" w:rsidRDefault="00A14A49" w:rsidP="00D77A51">
      <w:pPr>
        <w:jc w:val="both"/>
        <w:rPr>
          <w:rFonts w:ascii="Verdana" w:hAnsi="Verdana"/>
          <w:lang w:val="en-GB"/>
        </w:rPr>
      </w:pPr>
      <w:r w:rsidRPr="000B0DC0">
        <w:rPr>
          <w:rFonts w:ascii="Verdana" w:hAnsi="Verdana"/>
          <w:b/>
          <w:lang w:val="en-GB"/>
        </w:rPr>
        <w:t xml:space="preserve">Slide 5: </w:t>
      </w:r>
      <w:r w:rsidRPr="000B0DC0">
        <w:rPr>
          <w:rFonts w:ascii="Verdana" w:hAnsi="Verdana"/>
          <w:lang w:val="en-GB"/>
        </w:rPr>
        <w:t>The reviewed reports and strategic documents</w:t>
      </w:r>
      <w:r w:rsidRPr="000B0DC0">
        <w:rPr>
          <w:rFonts w:ascii="Verdana" w:hAnsi="Verdana"/>
          <w:vertAlign w:val="superscript"/>
          <w:lang w:val="en-GB"/>
        </w:rPr>
        <w:t xml:space="preserve"> </w:t>
      </w:r>
      <w:r w:rsidRPr="000B0DC0">
        <w:rPr>
          <w:rFonts w:ascii="Verdana" w:hAnsi="Verdana"/>
          <w:lang w:val="en-GB"/>
        </w:rPr>
        <w:t xml:space="preserve">identify several </w:t>
      </w:r>
      <w:r w:rsidRPr="000B0DC0">
        <w:rPr>
          <w:rFonts w:ascii="Verdana" w:hAnsi="Verdana"/>
          <w:b/>
          <w:lang w:val="en-GB"/>
        </w:rPr>
        <w:t>opportunities</w:t>
      </w:r>
      <w:r w:rsidRPr="000B0DC0">
        <w:rPr>
          <w:rFonts w:ascii="Verdana" w:hAnsi="Verdana"/>
          <w:lang w:val="en-GB"/>
        </w:rPr>
        <w:t xml:space="preserve"> and </w:t>
      </w:r>
      <w:r w:rsidRPr="000B0DC0">
        <w:rPr>
          <w:rFonts w:ascii="Verdana" w:hAnsi="Verdana"/>
          <w:b/>
          <w:lang w:val="en-GB"/>
        </w:rPr>
        <w:t>limitations</w:t>
      </w:r>
      <w:r w:rsidRPr="000B0DC0">
        <w:rPr>
          <w:rFonts w:ascii="Verdana" w:hAnsi="Verdana"/>
          <w:lang w:val="en-GB"/>
        </w:rPr>
        <w:t xml:space="preserve"> related to intersectoral action. </w:t>
      </w:r>
    </w:p>
    <w:p w:rsidR="00A14A49" w:rsidRPr="000B0DC0" w:rsidRDefault="00A14A49" w:rsidP="00D77A51">
      <w:pPr>
        <w:jc w:val="both"/>
        <w:rPr>
          <w:rFonts w:ascii="Verdana" w:hAnsi="Verdana"/>
          <w:lang w:val="en-GB"/>
        </w:rPr>
      </w:pPr>
    </w:p>
    <w:p w:rsidR="00A14A49" w:rsidRPr="000B0DC0" w:rsidRDefault="00A14A49" w:rsidP="00D77A51">
      <w:pPr>
        <w:jc w:val="both"/>
        <w:rPr>
          <w:rFonts w:ascii="Verdana" w:hAnsi="Verdana"/>
          <w:lang w:val="en-GB"/>
        </w:rPr>
      </w:pPr>
      <w:r w:rsidRPr="000B0DC0">
        <w:rPr>
          <w:rFonts w:ascii="Verdana" w:hAnsi="Verdana"/>
          <w:lang w:val="en-GB"/>
        </w:rPr>
        <w:t xml:space="preserve">In relation to </w:t>
      </w:r>
      <w:r w:rsidRPr="000B0DC0">
        <w:rPr>
          <w:rFonts w:ascii="Verdana" w:hAnsi="Verdana"/>
          <w:b/>
          <w:lang w:val="en-GB"/>
        </w:rPr>
        <w:t xml:space="preserve">opportunities, </w:t>
      </w:r>
      <w:r w:rsidRPr="000B0DC0">
        <w:rPr>
          <w:rFonts w:ascii="Verdana" w:hAnsi="Verdana"/>
          <w:lang w:val="en-GB"/>
        </w:rPr>
        <w:t>a development of synergies, the achievement of intersectoral co-benefits, the enhancement of equity in health and the reduction of geographical inequalities are highlighted.</w:t>
      </w:r>
    </w:p>
    <w:p w:rsidR="00A14A49" w:rsidRPr="000B0DC0" w:rsidRDefault="00A14A49" w:rsidP="00D77A51">
      <w:pPr>
        <w:jc w:val="both"/>
        <w:rPr>
          <w:rFonts w:ascii="Verdana" w:hAnsi="Verdana"/>
          <w:b/>
          <w:lang w:val="en-GB"/>
        </w:rPr>
      </w:pPr>
    </w:p>
    <w:p w:rsidR="00A14A49" w:rsidRPr="000B0DC0" w:rsidRDefault="00A14A49" w:rsidP="00D77A51">
      <w:pPr>
        <w:jc w:val="both"/>
        <w:rPr>
          <w:rFonts w:ascii="Verdana" w:hAnsi="Verdana"/>
          <w:lang w:val="en-GB"/>
        </w:rPr>
      </w:pPr>
      <w:r w:rsidRPr="000B0DC0">
        <w:rPr>
          <w:rFonts w:ascii="Verdana" w:hAnsi="Verdana"/>
          <w:b/>
          <w:lang w:val="en-GB"/>
        </w:rPr>
        <w:t xml:space="preserve">With respect to </w:t>
      </w:r>
      <w:r w:rsidRPr="000B0DC0">
        <w:rPr>
          <w:rFonts w:ascii="Verdana" w:hAnsi="Verdana"/>
          <w:lang w:val="en-GB"/>
        </w:rPr>
        <w:t xml:space="preserve">limitations, the reviewed strategic documents and reports refer to difficulties in the improvement of social determinants of health, the costs of intersectoral interventions, difficulties in measuring the cost-benefit balance, the limited implementation on a local level due to reduced priorization on a European, national or regional level, as well as, in general, difficulties in achieving the improvement of social determinants of health. </w:t>
      </w:r>
    </w:p>
    <w:p w:rsidR="00A14A49" w:rsidRPr="000B0DC0" w:rsidRDefault="00A14A49" w:rsidP="00D77A51">
      <w:pPr>
        <w:jc w:val="both"/>
        <w:rPr>
          <w:rFonts w:ascii="Verdana" w:hAnsi="Verdana"/>
          <w:lang w:val="en-GB"/>
        </w:rPr>
      </w:pPr>
    </w:p>
    <w:p w:rsidR="00A14A49" w:rsidRPr="000B0DC0" w:rsidRDefault="00A14A49" w:rsidP="00D77A51">
      <w:pPr>
        <w:jc w:val="both"/>
        <w:rPr>
          <w:rFonts w:ascii="Verdana" w:hAnsi="Verdana"/>
          <w:lang w:val="en-GB"/>
        </w:rPr>
      </w:pPr>
      <w:r w:rsidRPr="000B0DC0">
        <w:rPr>
          <w:rFonts w:ascii="Verdana" w:hAnsi="Verdana"/>
          <w:b/>
          <w:lang w:val="en-GB"/>
        </w:rPr>
        <w:t xml:space="preserve">Slide 6: </w:t>
      </w:r>
      <w:r w:rsidRPr="000B0DC0">
        <w:rPr>
          <w:rFonts w:ascii="Verdana" w:hAnsi="Verdana"/>
          <w:lang w:val="en-GB"/>
        </w:rPr>
        <w:t xml:space="preserve">Furthermore, the reviewed strategic documents and reports identify potential </w:t>
      </w:r>
      <w:r w:rsidRPr="000B0DC0">
        <w:rPr>
          <w:rFonts w:ascii="Verdana" w:hAnsi="Verdana"/>
          <w:b/>
          <w:lang w:val="en-GB"/>
        </w:rPr>
        <w:t>strategies</w:t>
      </w:r>
      <w:r w:rsidRPr="000B0DC0">
        <w:rPr>
          <w:rFonts w:ascii="Verdana" w:hAnsi="Verdana"/>
          <w:lang w:val="en-GB"/>
        </w:rPr>
        <w:t xml:space="preserve"> for enhancing the </w:t>
      </w:r>
      <w:r w:rsidRPr="000B0DC0">
        <w:rPr>
          <w:rFonts w:ascii="Verdana" w:hAnsi="Verdana"/>
          <w:b/>
          <w:lang w:val="en-GB"/>
        </w:rPr>
        <w:t>implementation of intersectoral actions</w:t>
      </w:r>
      <w:r w:rsidRPr="000B0DC0">
        <w:rPr>
          <w:rFonts w:ascii="Verdana" w:hAnsi="Verdana"/>
          <w:lang w:val="en-GB"/>
        </w:rPr>
        <w:t xml:space="preserve">. They highlight the importance of improving a political and institutional recognition of intersectoral action, including long-term perspectives. Furthermore, they underline the relevance of assuring continuity, assessment and follow up, promoting community participation and empowerment, as well as the need for adapting intersectoral actions to the specific political, economic, and cultural context. </w:t>
      </w:r>
    </w:p>
    <w:p w:rsidR="00A14A49" w:rsidRPr="000B0DC0" w:rsidRDefault="00A14A49" w:rsidP="00D77A51">
      <w:pPr>
        <w:jc w:val="both"/>
        <w:rPr>
          <w:rFonts w:ascii="Verdana" w:hAnsi="Verdana"/>
          <w:b/>
          <w:lang w:val="en-GB"/>
        </w:rPr>
      </w:pPr>
    </w:p>
    <w:p w:rsidR="00A14A49" w:rsidRPr="000B0DC0" w:rsidRDefault="00A14A49" w:rsidP="00D77A51">
      <w:pPr>
        <w:jc w:val="both"/>
        <w:rPr>
          <w:rFonts w:ascii="Verdana" w:hAnsi="Verdana"/>
          <w:lang w:val="en-GB"/>
        </w:rPr>
      </w:pPr>
      <w:r w:rsidRPr="000B0DC0">
        <w:rPr>
          <w:rFonts w:ascii="Verdana" w:hAnsi="Verdana"/>
          <w:b/>
          <w:lang w:val="en-GB"/>
        </w:rPr>
        <w:t xml:space="preserve">Slide </w:t>
      </w:r>
      <w:smartTag w:uri="urn:schemas-microsoft-com:office:smarttags" w:element="metricconverter">
        <w:smartTagPr>
          <w:attr w:name="ProductID" w:val="7. A"/>
        </w:smartTagPr>
        <w:r w:rsidRPr="000B0DC0">
          <w:rPr>
            <w:rFonts w:ascii="Verdana" w:hAnsi="Verdana"/>
            <w:b/>
            <w:lang w:val="en-GB"/>
          </w:rPr>
          <w:t xml:space="preserve">7. </w:t>
        </w:r>
        <w:r w:rsidRPr="000B0DC0">
          <w:rPr>
            <w:rFonts w:ascii="Verdana" w:hAnsi="Verdana"/>
            <w:lang w:val="en-GB"/>
          </w:rPr>
          <w:t>A</w:t>
        </w:r>
      </w:smartTag>
      <w:r w:rsidRPr="000B0DC0">
        <w:rPr>
          <w:rFonts w:ascii="Verdana" w:hAnsi="Verdana"/>
          <w:lang w:val="en-GB"/>
        </w:rPr>
        <w:t xml:space="preserve"> </w:t>
      </w:r>
      <w:r w:rsidRPr="000B0DC0">
        <w:rPr>
          <w:rFonts w:ascii="Verdana" w:hAnsi="Verdana"/>
          <w:b/>
          <w:lang w:val="en-GB"/>
        </w:rPr>
        <w:t xml:space="preserve">review of 64 actions addressing health inequalities </w:t>
      </w:r>
      <w:r w:rsidRPr="000B0DC0">
        <w:rPr>
          <w:rFonts w:ascii="Verdana" w:hAnsi="Verdana"/>
          <w:lang w:val="en-GB"/>
        </w:rPr>
        <w:t>conducted within the First and Second Health Programme, published by CHAFEA</w:t>
      </w:r>
      <w:r w:rsidRPr="000B0DC0">
        <w:rPr>
          <w:rStyle w:val="FootnoteReference"/>
          <w:rFonts w:ascii="Verdana" w:hAnsi="Verdana"/>
          <w:lang w:val="en-GB"/>
        </w:rPr>
        <w:footnoteReference w:id="13"/>
      </w:r>
      <w:r w:rsidRPr="000B0DC0">
        <w:rPr>
          <w:rFonts w:ascii="Verdana" w:hAnsi="Verdana"/>
          <w:lang w:val="en-GB"/>
        </w:rPr>
        <w:t xml:space="preserve">, identifies </w:t>
      </w:r>
      <w:r w:rsidRPr="000B0DC0">
        <w:rPr>
          <w:rFonts w:ascii="Verdana" w:hAnsi="Verdana"/>
          <w:i/>
          <w:lang w:val="en-GB"/>
        </w:rPr>
        <w:t>“Health in All Policies (Intersectoral Action)”</w:t>
      </w:r>
      <w:r w:rsidRPr="000B0DC0">
        <w:rPr>
          <w:rFonts w:ascii="Verdana" w:hAnsi="Verdana"/>
          <w:lang w:val="en-GB"/>
        </w:rPr>
        <w:t xml:space="preserve"> as the less frequent type of intervention, at the same time as observing an increasing consideration in the Second Health Programme. </w:t>
      </w:r>
      <w:r w:rsidRPr="000B0DC0">
        <w:rPr>
          <w:rFonts w:ascii="Verdana" w:hAnsi="Verdana"/>
          <w:i/>
          <w:lang w:val="en-GB"/>
        </w:rPr>
        <w:t>“Migrants and ethnic minorities</w:t>
      </w:r>
      <w:r w:rsidRPr="000B0DC0">
        <w:rPr>
          <w:rFonts w:ascii="Verdana" w:hAnsi="Verdana"/>
          <w:lang w:val="en-GB"/>
        </w:rPr>
        <w:t xml:space="preserve">” are identified as relevant target groups within the health inequalities actions developed in recent years. </w:t>
      </w:r>
    </w:p>
    <w:p w:rsidR="00A14A49" w:rsidRPr="000B0DC0" w:rsidRDefault="00A14A49" w:rsidP="00D77A51">
      <w:pPr>
        <w:jc w:val="both"/>
        <w:rPr>
          <w:rFonts w:ascii="Verdana" w:hAnsi="Verdana"/>
          <w:lang w:val="en-GB"/>
        </w:rPr>
      </w:pPr>
    </w:p>
    <w:p w:rsidR="00A14A49" w:rsidRPr="000B0DC0" w:rsidRDefault="00A14A49" w:rsidP="00D77A51">
      <w:pPr>
        <w:jc w:val="both"/>
        <w:rPr>
          <w:rFonts w:ascii="Verdana" w:hAnsi="Verdana"/>
          <w:lang w:val="en-GB"/>
        </w:rPr>
      </w:pPr>
      <w:r w:rsidRPr="000B0DC0">
        <w:rPr>
          <w:rFonts w:ascii="Verdana" w:hAnsi="Verdana"/>
          <w:b/>
          <w:lang w:val="en-GB"/>
        </w:rPr>
        <w:t xml:space="preserve">Slide 8: </w:t>
      </w:r>
      <w:r w:rsidRPr="000B0DC0">
        <w:rPr>
          <w:rFonts w:ascii="Verdana" w:hAnsi="Verdana"/>
          <w:lang w:val="en-GB"/>
        </w:rPr>
        <w:t xml:space="preserve">In strategic documents and recent studies, the </w:t>
      </w:r>
      <w:r w:rsidRPr="000B0DC0">
        <w:rPr>
          <w:rFonts w:ascii="Verdana" w:hAnsi="Verdana"/>
          <w:b/>
          <w:lang w:val="en-GB"/>
        </w:rPr>
        <w:t>relevance of intersectoral actio</w:t>
      </w:r>
      <w:r w:rsidRPr="000B0DC0">
        <w:rPr>
          <w:rFonts w:ascii="Verdana" w:hAnsi="Verdana"/>
          <w:lang w:val="en-GB"/>
        </w:rPr>
        <w:t xml:space="preserve">n for health care and health policies addressed to </w:t>
      </w:r>
      <w:r w:rsidRPr="000B0DC0">
        <w:rPr>
          <w:rFonts w:ascii="Verdana" w:hAnsi="Verdana"/>
          <w:b/>
          <w:lang w:val="en-GB"/>
        </w:rPr>
        <w:t>migrants and ethnic minorities</w:t>
      </w:r>
      <w:r w:rsidRPr="000B0DC0">
        <w:rPr>
          <w:rFonts w:ascii="Verdana" w:hAnsi="Verdana"/>
          <w:lang w:val="en-GB"/>
        </w:rPr>
        <w:t xml:space="preserve"> is stressed</w:t>
      </w:r>
      <w:r w:rsidRPr="000B0DC0">
        <w:rPr>
          <w:rStyle w:val="FootnoteReference"/>
          <w:rFonts w:ascii="Verdana" w:hAnsi="Verdana"/>
          <w:lang w:val="en-GB"/>
        </w:rPr>
        <w:footnoteReference w:id="14"/>
      </w:r>
      <w:r w:rsidRPr="000B0DC0">
        <w:rPr>
          <w:rFonts w:ascii="Verdana" w:hAnsi="Verdana"/>
          <w:vertAlign w:val="superscript"/>
          <w:lang w:val="en-GB"/>
        </w:rPr>
        <w:t>,</w:t>
      </w:r>
      <w:r w:rsidRPr="000B0DC0">
        <w:rPr>
          <w:rStyle w:val="FootnoteReference"/>
          <w:rFonts w:ascii="Verdana" w:hAnsi="Verdana"/>
          <w:lang w:val="en-GB"/>
        </w:rPr>
        <w:footnoteReference w:id="15"/>
      </w:r>
      <w:r w:rsidRPr="000B0DC0">
        <w:rPr>
          <w:rFonts w:ascii="Verdana" w:hAnsi="Verdana"/>
          <w:vertAlign w:val="superscript"/>
          <w:lang w:val="en-GB"/>
        </w:rPr>
        <w:t>,</w:t>
      </w:r>
      <w:r w:rsidRPr="000B0DC0">
        <w:rPr>
          <w:rStyle w:val="FootnoteReference"/>
          <w:rFonts w:ascii="Verdana" w:hAnsi="Verdana"/>
          <w:lang w:val="en-GB"/>
        </w:rPr>
        <w:footnoteReference w:id="16"/>
      </w:r>
      <w:r w:rsidRPr="000B0DC0">
        <w:rPr>
          <w:rFonts w:ascii="Verdana" w:hAnsi="Verdana"/>
          <w:vertAlign w:val="superscript"/>
          <w:lang w:val="en-GB"/>
        </w:rPr>
        <w:t>,</w:t>
      </w:r>
      <w:r w:rsidRPr="000B0DC0">
        <w:rPr>
          <w:rStyle w:val="FootnoteReference"/>
          <w:rFonts w:ascii="Verdana" w:hAnsi="Verdana"/>
          <w:lang w:val="en-GB"/>
        </w:rPr>
        <w:footnoteReference w:id="17"/>
      </w:r>
      <w:r w:rsidRPr="000B0DC0">
        <w:rPr>
          <w:rFonts w:ascii="Verdana" w:hAnsi="Verdana"/>
          <w:lang w:val="en-GB"/>
        </w:rPr>
        <w:t>. Intersectoral action is considered to be particularly relevant due to the economic, political and social character of the determinants of health in these population groups.</w:t>
      </w:r>
    </w:p>
    <w:p w:rsidR="00A14A49" w:rsidRPr="000B0DC0" w:rsidRDefault="00A14A49" w:rsidP="00D77A51">
      <w:pPr>
        <w:jc w:val="both"/>
        <w:rPr>
          <w:rFonts w:ascii="Verdana" w:hAnsi="Verdana"/>
          <w:b/>
          <w:lang w:val="en-GB"/>
        </w:rPr>
      </w:pPr>
    </w:p>
    <w:p w:rsidR="00A14A49" w:rsidRPr="000B0DC0" w:rsidRDefault="00A14A49" w:rsidP="00D77A51">
      <w:pPr>
        <w:jc w:val="both"/>
        <w:rPr>
          <w:rFonts w:ascii="Verdana" w:hAnsi="Verdana"/>
          <w:lang w:val="en-GB"/>
        </w:rPr>
      </w:pPr>
      <w:r w:rsidRPr="000B0DC0">
        <w:rPr>
          <w:rFonts w:ascii="Verdana" w:hAnsi="Verdana"/>
          <w:b/>
          <w:lang w:val="en-GB"/>
        </w:rPr>
        <w:t>Slide 9:</w:t>
      </w:r>
      <w:r w:rsidRPr="000B0DC0">
        <w:rPr>
          <w:rFonts w:ascii="Verdana" w:hAnsi="Verdana"/>
          <w:lang w:val="en-GB"/>
        </w:rPr>
        <w:t xml:space="preserve"> The reviewed strategic documents and reports put forward </w:t>
      </w:r>
      <w:r w:rsidRPr="000B0DC0">
        <w:rPr>
          <w:rFonts w:ascii="Verdana" w:hAnsi="Verdana"/>
          <w:b/>
          <w:lang w:val="en-GB"/>
        </w:rPr>
        <w:t>recommendations</w:t>
      </w:r>
      <w:r w:rsidRPr="000B0DC0">
        <w:rPr>
          <w:rFonts w:ascii="Verdana" w:hAnsi="Verdana"/>
          <w:lang w:val="en-GB"/>
        </w:rPr>
        <w:t xml:space="preserve"> related to intersectoral action in general and specifically related to the health of migrants and ethnic minorities. They recommend the promotion of intersectoral actions, cross-sectoral strategies and “Health in all Policies”, as well as the mainstreaming of a focus on health inequalities instead of a limitation of action toward specific vulnerable groups. In the development of intersectoral actions addressed to migrants and ethnic minorities, a consideration of the social determinants of health is recommended. Furthermore, the introduction of intersectoral actions focused on addressing the impact of the current economic crisis on health care and health, as well as the promotion of the monitoring and ongoing assessment of intersectoral actions is suggested.</w:t>
      </w:r>
    </w:p>
    <w:p w:rsidR="00A14A49" w:rsidRPr="000B0DC0" w:rsidRDefault="00A14A49" w:rsidP="00D77A51">
      <w:pPr>
        <w:jc w:val="center"/>
        <w:rPr>
          <w:rFonts w:ascii="Verdana" w:hAnsi="Verdana"/>
          <w:lang w:val="en-GB"/>
        </w:rPr>
      </w:pPr>
    </w:p>
    <w:p w:rsidR="00A14A49" w:rsidRPr="000B0DC0" w:rsidRDefault="00A14A49" w:rsidP="00D77A51">
      <w:pPr>
        <w:jc w:val="both"/>
        <w:rPr>
          <w:rFonts w:ascii="Verdana" w:hAnsi="Verdana"/>
          <w:lang w:val="en-GB"/>
        </w:rPr>
      </w:pPr>
      <w:r w:rsidRPr="000B0DC0">
        <w:rPr>
          <w:rFonts w:ascii="Verdana" w:hAnsi="Verdana"/>
          <w:b/>
          <w:lang w:val="en-GB"/>
        </w:rPr>
        <w:t xml:space="preserve">Slide 10: </w:t>
      </w:r>
      <w:r w:rsidRPr="000B0DC0">
        <w:rPr>
          <w:rFonts w:ascii="Verdana" w:hAnsi="Verdana"/>
          <w:lang w:val="en-GB"/>
        </w:rPr>
        <w:t xml:space="preserve">In the construction of an </w:t>
      </w:r>
      <w:r w:rsidRPr="000B0DC0">
        <w:rPr>
          <w:rFonts w:ascii="Verdana" w:hAnsi="Verdana"/>
          <w:b/>
          <w:lang w:val="en-GB"/>
        </w:rPr>
        <w:t xml:space="preserve">intersectoral action plan </w:t>
      </w:r>
      <w:r w:rsidRPr="000B0DC0">
        <w:rPr>
          <w:rFonts w:ascii="Verdana" w:hAnsi="Verdana"/>
          <w:lang w:val="en-GB"/>
        </w:rPr>
        <w:t xml:space="preserve">related to the health of migrants and ethnic minorities, various phases have to be considered. In this slide, an example of an action plan, based on </w:t>
      </w:r>
      <w:r w:rsidRPr="000B0DC0">
        <w:rPr>
          <w:rFonts w:ascii="Verdana" w:hAnsi="Verdana"/>
          <w:b/>
          <w:lang w:val="en-GB"/>
        </w:rPr>
        <w:t>participatory planning methodologies, tools and training resources</w:t>
      </w:r>
      <w:r w:rsidRPr="000B0DC0">
        <w:rPr>
          <w:rStyle w:val="FootnoteReference"/>
          <w:rFonts w:ascii="Verdana" w:hAnsi="Verdana"/>
          <w:lang w:val="en-GB"/>
        </w:rPr>
        <w:footnoteReference w:id="18"/>
      </w:r>
      <w:r w:rsidRPr="000B0DC0">
        <w:rPr>
          <w:rFonts w:ascii="Verdana" w:hAnsi="Verdana"/>
          <w:vertAlign w:val="superscript"/>
          <w:lang w:val="en-GB"/>
        </w:rPr>
        <w:t>,</w:t>
      </w:r>
      <w:r w:rsidRPr="000B0DC0">
        <w:rPr>
          <w:rStyle w:val="FootnoteReference"/>
          <w:rFonts w:ascii="Verdana" w:hAnsi="Verdana"/>
          <w:lang w:val="en-GB"/>
        </w:rPr>
        <w:footnoteReference w:id="19"/>
      </w:r>
      <w:r w:rsidRPr="000B0DC0">
        <w:rPr>
          <w:rFonts w:ascii="Verdana" w:hAnsi="Verdana"/>
          <w:vertAlign w:val="superscript"/>
          <w:lang w:val="en-GB"/>
        </w:rPr>
        <w:t>,</w:t>
      </w:r>
      <w:r w:rsidRPr="000B0DC0">
        <w:rPr>
          <w:rStyle w:val="FootnoteReference"/>
          <w:rFonts w:ascii="Verdana" w:hAnsi="Verdana"/>
          <w:lang w:val="en-GB"/>
        </w:rPr>
        <w:footnoteReference w:id="20"/>
      </w:r>
      <w:r w:rsidRPr="000B0DC0">
        <w:rPr>
          <w:rFonts w:ascii="Verdana" w:hAnsi="Verdana"/>
          <w:vertAlign w:val="superscript"/>
          <w:lang w:val="en-GB"/>
        </w:rPr>
        <w:t>,</w:t>
      </w:r>
      <w:r w:rsidRPr="000B0DC0">
        <w:rPr>
          <w:rStyle w:val="FootnoteReference"/>
          <w:rFonts w:ascii="Verdana" w:hAnsi="Verdana"/>
          <w:lang w:val="en-GB"/>
        </w:rPr>
        <w:footnoteReference w:id="21"/>
      </w:r>
      <w:r w:rsidRPr="000B0DC0">
        <w:rPr>
          <w:rFonts w:ascii="Verdana" w:hAnsi="Verdana"/>
          <w:lang w:val="en-GB"/>
        </w:rPr>
        <w:t xml:space="preserve"> is presented, to be adapted to the specific context.</w:t>
      </w:r>
    </w:p>
    <w:p w:rsidR="00A14A49" w:rsidRPr="000B0DC0" w:rsidRDefault="00A14A49" w:rsidP="00D77A51">
      <w:pPr>
        <w:jc w:val="both"/>
        <w:rPr>
          <w:rFonts w:ascii="Verdana" w:hAnsi="Verdana"/>
          <w:lang w:val="en-GB"/>
        </w:rPr>
      </w:pPr>
    </w:p>
    <w:p w:rsidR="00A14A49" w:rsidRPr="000B0DC0" w:rsidRDefault="00A14A49" w:rsidP="00D77A51">
      <w:pPr>
        <w:jc w:val="both"/>
        <w:rPr>
          <w:rFonts w:ascii="Verdana" w:hAnsi="Verdana"/>
          <w:lang w:val="en-GB"/>
        </w:rPr>
      </w:pPr>
      <w:r w:rsidRPr="000B0DC0">
        <w:rPr>
          <w:rFonts w:ascii="Verdana" w:hAnsi="Verdana"/>
          <w:lang w:val="en-GB"/>
        </w:rPr>
        <w:t xml:space="preserve">As a starting point, the need for intersectoral collaboration is identified, and the idea of a joint action is transferred to other sectors and stakeholders. In a first meeting, experiences and expectations are exchanged, the objectives of the collaboration are identified, and the intersectoral action plan is elaborated. The process starts with the elaboration of a situational analysis, by means of a mapping of the relevant stakeholders and existing resources and a SWOT analysis to identify strengths, weaknesses, opportunities and threats. Based on the results of this situational analysis in the planning phase, adequate intervention methodologies are identified and interventions and actions are prepared. In the implementation phase, the actions and interventions are implemented. Finally, the intersectoral action plan includes an assessment process, in order to detect weaknesses and to improve the actions and interventions. </w:t>
      </w:r>
    </w:p>
    <w:p w:rsidR="00A14A49" w:rsidRPr="000B0DC0" w:rsidRDefault="00A14A49" w:rsidP="00D77A51">
      <w:pPr>
        <w:jc w:val="both"/>
        <w:rPr>
          <w:rFonts w:ascii="Verdana" w:hAnsi="Verdana"/>
          <w:lang w:val="en-GB"/>
        </w:rPr>
      </w:pPr>
    </w:p>
    <w:p w:rsidR="00A14A49" w:rsidRPr="000B0DC0" w:rsidRDefault="00A14A49" w:rsidP="00D77A51">
      <w:pPr>
        <w:jc w:val="both"/>
        <w:rPr>
          <w:rFonts w:ascii="Verdana" w:hAnsi="Verdana"/>
          <w:szCs w:val="22"/>
          <w:lang w:val="en-GB"/>
        </w:rPr>
      </w:pPr>
    </w:p>
    <w:p w:rsidR="00A14A49" w:rsidRPr="000B0DC0" w:rsidRDefault="00A14A49" w:rsidP="00D77A51">
      <w:pPr>
        <w:numPr>
          <w:ilvl w:val="0"/>
          <w:numId w:val="1"/>
        </w:numPr>
        <w:rPr>
          <w:rFonts w:ascii="Verdana" w:hAnsi="Verdana"/>
          <w:b/>
          <w:color w:val="000080"/>
          <w:szCs w:val="22"/>
          <w:lang w:val="en-GB"/>
        </w:rPr>
      </w:pPr>
      <w:r w:rsidRPr="000B0DC0">
        <w:rPr>
          <w:rFonts w:ascii="Verdana" w:hAnsi="Verdana"/>
          <w:b/>
          <w:color w:val="000080"/>
          <w:szCs w:val="22"/>
          <w:lang w:val="en-GB"/>
        </w:rPr>
        <w:t>Activity</w:t>
      </w:r>
    </w:p>
    <w:p w:rsidR="00A14A49" w:rsidRPr="000B0DC0" w:rsidRDefault="00A14A49" w:rsidP="00D77A51">
      <w:pPr>
        <w:jc w:val="both"/>
        <w:rPr>
          <w:rFonts w:ascii="Verdana" w:hAnsi="Verdana"/>
          <w:lang w:val="en-GB"/>
        </w:rPr>
      </w:pPr>
    </w:p>
    <w:p w:rsidR="00A14A49" w:rsidRPr="000B0DC0" w:rsidRDefault="00A14A49" w:rsidP="00D77A51">
      <w:pPr>
        <w:jc w:val="both"/>
        <w:rPr>
          <w:rFonts w:ascii="Verdana" w:hAnsi="Verdana"/>
          <w:b/>
          <w:lang w:val="en-GB"/>
        </w:rPr>
      </w:pPr>
      <w:r w:rsidRPr="000B0DC0">
        <w:rPr>
          <w:rFonts w:ascii="Verdana" w:hAnsi="Verdana"/>
          <w:b/>
          <w:lang w:val="en-GB"/>
        </w:rPr>
        <w:t>Mapping Stakeholders and Resources for an Intersectoral Action</w:t>
      </w:r>
    </w:p>
    <w:p w:rsidR="00A14A49" w:rsidRPr="000B0DC0" w:rsidRDefault="00A14A49" w:rsidP="00D77A51">
      <w:pPr>
        <w:jc w:val="both"/>
        <w:rPr>
          <w:rFonts w:ascii="Verdana" w:hAnsi="Verdana"/>
          <w:b/>
          <w:lang w:val="en-GB"/>
        </w:rPr>
      </w:pPr>
    </w:p>
    <w:p w:rsidR="00A14A49" w:rsidRPr="000B0DC0" w:rsidRDefault="00A14A49" w:rsidP="00D77A51">
      <w:pPr>
        <w:jc w:val="both"/>
        <w:rPr>
          <w:rFonts w:ascii="Verdana" w:hAnsi="Verdana"/>
          <w:lang w:val="en-GB"/>
        </w:rPr>
      </w:pPr>
      <w:r w:rsidRPr="000B0DC0">
        <w:rPr>
          <w:rFonts w:ascii="Verdana" w:hAnsi="Verdana"/>
          <w:b/>
          <w:lang w:val="en-GB"/>
        </w:rPr>
        <w:t xml:space="preserve">Slide 11: </w:t>
      </w:r>
      <w:r w:rsidRPr="000B0DC0">
        <w:rPr>
          <w:rFonts w:ascii="Verdana" w:hAnsi="Verdana"/>
          <w:lang w:val="en-GB"/>
        </w:rPr>
        <w:t xml:space="preserve">The activity consists of three parts: </w:t>
      </w:r>
    </w:p>
    <w:p w:rsidR="00A14A49" w:rsidRPr="000B0DC0" w:rsidRDefault="00A14A49" w:rsidP="00D77A51">
      <w:pPr>
        <w:jc w:val="both"/>
        <w:rPr>
          <w:rFonts w:ascii="Verdana" w:hAnsi="Verdana"/>
          <w:b/>
          <w:lang w:val="en-GB"/>
        </w:rPr>
      </w:pPr>
    </w:p>
    <w:p w:rsidR="00A14A49" w:rsidRPr="000B0DC0" w:rsidRDefault="00A14A49" w:rsidP="00D77A51">
      <w:pPr>
        <w:jc w:val="both"/>
        <w:rPr>
          <w:rFonts w:ascii="Verdana" w:hAnsi="Verdana"/>
          <w:b/>
          <w:i/>
          <w:lang w:val="en-US"/>
        </w:rPr>
      </w:pPr>
      <w:r w:rsidRPr="000B0DC0">
        <w:rPr>
          <w:rFonts w:ascii="Verdana" w:hAnsi="Verdana"/>
          <w:b/>
          <w:lang w:val="en-US"/>
        </w:rPr>
        <w:t>1. Presentation of the methodology</w:t>
      </w:r>
    </w:p>
    <w:p w:rsidR="00A14A49" w:rsidRPr="000B0DC0" w:rsidRDefault="00A14A49" w:rsidP="00D77A51">
      <w:pPr>
        <w:jc w:val="both"/>
        <w:rPr>
          <w:rFonts w:ascii="Verdana" w:hAnsi="Verdana"/>
          <w:lang w:val="en-US"/>
        </w:rPr>
      </w:pPr>
    </w:p>
    <w:p w:rsidR="00A14A49" w:rsidRPr="000B0DC0" w:rsidRDefault="00A14A49" w:rsidP="00D77A51">
      <w:pPr>
        <w:jc w:val="both"/>
        <w:rPr>
          <w:rFonts w:ascii="Verdana" w:hAnsi="Verdana"/>
          <w:i/>
          <w:lang w:val="en-US"/>
        </w:rPr>
      </w:pPr>
      <w:r w:rsidRPr="000B0DC0">
        <w:rPr>
          <w:rFonts w:ascii="Verdana" w:hAnsi="Verdana"/>
          <w:b/>
          <w:lang w:val="en-US"/>
        </w:rPr>
        <w:t>2. Mapping Process</w:t>
      </w:r>
      <w:r w:rsidRPr="000B0DC0">
        <w:rPr>
          <w:rStyle w:val="FootnoteReference"/>
          <w:rFonts w:ascii="Verdana" w:hAnsi="Verdana"/>
          <w:b/>
          <w:lang w:val="en-GB"/>
        </w:rPr>
        <w:footnoteReference w:id="22"/>
      </w:r>
      <w:r w:rsidRPr="000B0DC0">
        <w:rPr>
          <w:rFonts w:ascii="Verdana" w:hAnsi="Verdana"/>
          <w:b/>
          <w:lang w:val="en-US"/>
        </w:rPr>
        <w:t xml:space="preserve"> in small groups </w:t>
      </w:r>
      <w:r w:rsidRPr="000B0DC0">
        <w:rPr>
          <w:rFonts w:ascii="Verdana" w:hAnsi="Verdana"/>
          <w:i/>
          <w:lang w:val="en-US"/>
        </w:rPr>
        <w:t>(3-4 people)</w:t>
      </w:r>
    </w:p>
    <w:p w:rsidR="00A14A49" w:rsidRPr="000B0DC0" w:rsidRDefault="00A14A49" w:rsidP="00D77A51">
      <w:pPr>
        <w:jc w:val="both"/>
        <w:rPr>
          <w:rFonts w:ascii="Verdana" w:hAnsi="Verdana"/>
          <w:i/>
          <w:lang w:val="en-US"/>
        </w:rPr>
      </w:pPr>
    </w:p>
    <w:p w:rsidR="00A14A49" w:rsidRPr="000B0DC0" w:rsidRDefault="00A14A49" w:rsidP="00D77A51">
      <w:pPr>
        <w:jc w:val="both"/>
        <w:rPr>
          <w:rFonts w:ascii="Verdana" w:hAnsi="Verdana"/>
          <w:i/>
          <w:color w:val="215868"/>
          <w:lang w:val="en-US"/>
        </w:rPr>
      </w:pPr>
      <w:r w:rsidRPr="000B0DC0">
        <w:rPr>
          <w:rFonts w:ascii="Verdana" w:hAnsi="Verdana"/>
          <w:i/>
          <w:color w:val="008080"/>
          <w:szCs w:val="22"/>
          <w:lang w:val="en-GB"/>
        </w:rPr>
        <w:t xml:space="preserve">The small groups should be composed of participants from the same institutional / local / regional or national context, in order to be able to construct a map based on a concrete experience. If all participants are from different contexts, the mapping activity can also be conducted individually. </w:t>
      </w:r>
    </w:p>
    <w:p w:rsidR="00A14A49" w:rsidRPr="000B0DC0" w:rsidRDefault="00A14A49" w:rsidP="00D77A51">
      <w:pPr>
        <w:jc w:val="both"/>
        <w:rPr>
          <w:rFonts w:ascii="Verdana" w:hAnsi="Verdana"/>
          <w:i/>
          <w:lang w:val="en-US"/>
        </w:rPr>
      </w:pPr>
    </w:p>
    <w:p w:rsidR="00A14A49" w:rsidRPr="000B0DC0" w:rsidRDefault="00A14A49" w:rsidP="00D77A51">
      <w:pPr>
        <w:numPr>
          <w:ilvl w:val="0"/>
          <w:numId w:val="5"/>
        </w:numPr>
        <w:jc w:val="both"/>
        <w:rPr>
          <w:rFonts w:ascii="Verdana" w:hAnsi="Verdana"/>
          <w:lang w:val="en-GB"/>
        </w:rPr>
      </w:pPr>
      <w:r w:rsidRPr="000B0DC0">
        <w:rPr>
          <w:rFonts w:ascii="Verdana" w:hAnsi="Verdana"/>
          <w:lang w:val="en-GB"/>
        </w:rPr>
        <w:t xml:space="preserve">In small groups </w:t>
      </w:r>
      <w:r w:rsidRPr="000B0DC0">
        <w:rPr>
          <w:rFonts w:ascii="Verdana" w:hAnsi="Verdana"/>
          <w:i/>
          <w:color w:val="215868"/>
          <w:lang w:val="en-GB"/>
        </w:rPr>
        <w:t xml:space="preserve">(or individually): </w:t>
      </w:r>
    </w:p>
    <w:p w:rsidR="00A14A49" w:rsidRPr="000B0DC0" w:rsidRDefault="00A14A49" w:rsidP="00D77A51">
      <w:pPr>
        <w:numPr>
          <w:ilvl w:val="1"/>
          <w:numId w:val="6"/>
        </w:numPr>
        <w:jc w:val="both"/>
        <w:rPr>
          <w:rFonts w:ascii="Verdana" w:hAnsi="Verdana"/>
          <w:lang w:val="en-GB"/>
        </w:rPr>
      </w:pPr>
      <w:r w:rsidRPr="000B0DC0">
        <w:rPr>
          <w:rFonts w:ascii="Verdana" w:hAnsi="Verdana"/>
          <w:lang w:val="en-GB"/>
        </w:rPr>
        <w:t xml:space="preserve">Describe an intersectoral action related to the health of migrants and ethnic minorities existing in your own institutional, local, regional or national context. </w:t>
      </w:r>
    </w:p>
    <w:p w:rsidR="00A14A49" w:rsidRPr="000B0DC0" w:rsidRDefault="00A14A49" w:rsidP="00D77A51">
      <w:pPr>
        <w:numPr>
          <w:ilvl w:val="1"/>
          <w:numId w:val="6"/>
        </w:numPr>
        <w:jc w:val="both"/>
        <w:rPr>
          <w:rFonts w:ascii="Verdana" w:hAnsi="Verdana"/>
          <w:lang w:val="en-GB"/>
        </w:rPr>
      </w:pPr>
      <w:r w:rsidRPr="000B0DC0">
        <w:rPr>
          <w:rFonts w:ascii="Verdana" w:hAnsi="Verdana"/>
          <w:lang w:val="en-GB"/>
        </w:rPr>
        <w:t xml:space="preserve">Construct a map of relevant stakeholders and resources for the intersectoral action.  </w:t>
      </w:r>
    </w:p>
    <w:p w:rsidR="00A14A49" w:rsidRPr="000B0DC0" w:rsidRDefault="00A14A49" w:rsidP="00D77A51">
      <w:pPr>
        <w:numPr>
          <w:ilvl w:val="1"/>
          <w:numId w:val="6"/>
        </w:numPr>
        <w:jc w:val="both"/>
        <w:rPr>
          <w:rFonts w:ascii="Verdana" w:hAnsi="Verdana"/>
          <w:lang w:val="en-GB"/>
        </w:rPr>
      </w:pPr>
      <w:r w:rsidRPr="000B0DC0">
        <w:rPr>
          <w:rFonts w:ascii="Verdana" w:hAnsi="Verdana"/>
          <w:lang w:val="en-GB"/>
        </w:rPr>
        <w:t>Draft the existing interactions between stakeholders.</w:t>
      </w:r>
    </w:p>
    <w:p w:rsidR="00A14A49" w:rsidRPr="000B0DC0" w:rsidRDefault="00A14A49" w:rsidP="00D77A51">
      <w:pPr>
        <w:numPr>
          <w:ilvl w:val="1"/>
          <w:numId w:val="6"/>
        </w:numPr>
        <w:jc w:val="both"/>
        <w:rPr>
          <w:rFonts w:ascii="Verdana" w:hAnsi="Verdana"/>
          <w:lang w:val="en-GB"/>
        </w:rPr>
      </w:pPr>
      <w:r w:rsidRPr="000B0DC0">
        <w:rPr>
          <w:rFonts w:ascii="Verdana" w:hAnsi="Verdana"/>
          <w:lang w:val="en-GB"/>
        </w:rPr>
        <w:t>Create a future picture of an ‘ideal’ intersectoral coordination.</w:t>
      </w:r>
    </w:p>
    <w:p w:rsidR="00A14A49" w:rsidRPr="000B0DC0" w:rsidRDefault="00A14A49" w:rsidP="00D77A51">
      <w:pPr>
        <w:numPr>
          <w:ilvl w:val="1"/>
          <w:numId w:val="6"/>
        </w:numPr>
        <w:jc w:val="both"/>
        <w:rPr>
          <w:rFonts w:ascii="Verdana" w:hAnsi="Verdana"/>
          <w:lang w:val="en-GB"/>
        </w:rPr>
      </w:pPr>
      <w:r w:rsidRPr="000B0DC0">
        <w:rPr>
          <w:rFonts w:ascii="Verdana" w:hAnsi="Verdana"/>
          <w:lang w:val="en-GB"/>
        </w:rPr>
        <w:t xml:space="preserve">Identify strategies to achieve the ‘ideal’ picture. </w:t>
      </w:r>
    </w:p>
    <w:p w:rsidR="00A14A49" w:rsidRPr="000B0DC0" w:rsidRDefault="00A14A49" w:rsidP="00D77A51">
      <w:pPr>
        <w:ind w:left="720"/>
        <w:jc w:val="both"/>
        <w:rPr>
          <w:rFonts w:ascii="Verdana" w:hAnsi="Verdana"/>
          <w:lang w:val="en-US"/>
        </w:rPr>
      </w:pPr>
    </w:p>
    <w:p w:rsidR="00A14A49" w:rsidRPr="000B0DC0" w:rsidRDefault="00A14A49" w:rsidP="00D77A51">
      <w:pPr>
        <w:ind w:left="360"/>
        <w:jc w:val="both"/>
        <w:rPr>
          <w:rFonts w:ascii="Verdana" w:hAnsi="Verdana"/>
          <w:lang w:val="en-US"/>
        </w:rPr>
      </w:pPr>
      <w:r w:rsidRPr="000B0DC0">
        <w:rPr>
          <w:rFonts w:ascii="Verdana" w:hAnsi="Verdana"/>
          <w:lang w:val="en-US"/>
        </w:rPr>
        <w:t xml:space="preserve">Each small group is invited to select a rapporteur to present the map and relevant reflections in the plenary. </w:t>
      </w:r>
    </w:p>
    <w:p w:rsidR="00A14A49" w:rsidRPr="000B0DC0" w:rsidRDefault="00A14A49" w:rsidP="00D77A51">
      <w:pPr>
        <w:ind w:left="360"/>
        <w:jc w:val="both"/>
        <w:rPr>
          <w:rFonts w:ascii="Verdana" w:hAnsi="Verdana"/>
          <w:lang w:val="en-US"/>
        </w:rPr>
      </w:pPr>
    </w:p>
    <w:p w:rsidR="00A14A49" w:rsidRPr="000B0DC0" w:rsidRDefault="00A14A49" w:rsidP="00D77A51">
      <w:pPr>
        <w:jc w:val="both"/>
        <w:rPr>
          <w:rFonts w:ascii="Verdana" w:hAnsi="Verdana"/>
          <w:b/>
          <w:lang w:val="en-GB"/>
        </w:rPr>
      </w:pPr>
      <w:r w:rsidRPr="000B0DC0">
        <w:rPr>
          <w:rFonts w:ascii="Verdana" w:hAnsi="Verdana"/>
          <w:b/>
          <w:lang w:val="en-GB"/>
        </w:rPr>
        <w:t xml:space="preserve">3. Wrap up and discussion in the plenary </w:t>
      </w:r>
    </w:p>
    <w:p w:rsidR="00A14A49" w:rsidRPr="000B0DC0" w:rsidRDefault="00A14A49" w:rsidP="00D77A51">
      <w:pPr>
        <w:numPr>
          <w:ilvl w:val="0"/>
          <w:numId w:val="3"/>
        </w:numPr>
        <w:jc w:val="both"/>
        <w:rPr>
          <w:rFonts w:ascii="Verdana" w:hAnsi="Verdana"/>
          <w:lang w:val="en-US"/>
        </w:rPr>
      </w:pPr>
      <w:r w:rsidRPr="000B0DC0">
        <w:rPr>
          <w:rFonts w:ascii="Verdana" w:hAnsi="Verdana"/>
          <w:lang w:val="en-US"/>
        </w:rPr>
        <w:t xml:space="preserve">Wrap up and presentation of the mapping by the rapporteurs of each group </w:t>
      </w:r>
      <w:r w:rsidRPr="000B0DC0">
        <w:rPr>
          <w:rFonts w:ascii="Verdana" w:hAnsi="Verdana"/>
          <w:i/>
          <w:color w:val="215868"/>
          <w:lang w:val="en-US"/>
        </w:rPr>
        <w:t xml:space="preserve">(in case of the mapping activity being conducted individually, 3-4 participants are asked to present their map). </w:t>
      </w:r>
    </w:p>
    <w:p w:rsidR="00A14A49" w:rsidRPr="000B0DC0" w:rsidRDefault="00A14A49" w:rsidP="00D77A51">
      <w:pPr>
        <w:numPr>
          <w:ilvl w:val="0"/>
          <w:numId w:val="3"/>
        </w:numPr>
        <w:jc w:val="both"/>
        <w:rPr>
          <w:rFonts w:ascii="Verdana" w:hAnsi="Verdana"/>
        </w:rPr>
      </w:pPr>
      <w:r w:rsidRPr="000B0DC0">
        <w:rPr>
          <w:rFonts w:ascii="Verdana" w:hAnsi="Verdana"/>
        </w:rPr>
        <w:t xml:space="preserve">Discussion. </w:t>
      </w:r>
    </w:p>
    <w:p w:rsidR="00A14A49" w:rsidRPr="000B0DC0" w:rsidRDefault="00A14A49" w:rsidP="00D77A51">
      <w:pPr>
        <w:rPr>
          <w:rFonts w:ascii="Verdana" w:hAnsi="Verdana"/>
          <w:sz w:val="24"/>
          <w:lang w:val="en-GB"/>
        </w:rPr>
      </w:pPr>
    </w:p>
    <w:p w:rsidR="00A14A49" w:rsidRPr="000B0DC0" w:rsidRDefault="00A14A49" w:rsidP="00D77A51">
      <w:pPr>
        <w:rPr>
          <w:rFonts w:ascii="Verdana" w:hAnsi="Verdana"/>
          <w:lang w:val="en-GB"/>
        </w:rPr>
      </w:pPr>
      <w:r w:rsidRPr="000B0DC0">
        <w:rPr>
          <w:rFonts w:ascii="Verdana" w:hAnsi="Verdana"/>
          <w:b/>
          <w:lang w:val="en-GB"/>
        </w:rPr>
        <w:t xml:space="preserve">Slide 12: </w:t>
      </w:r>
      <w:r w:rsidRPr="000B0DC0">
        <w:rPr>
          <w:rFonts w:ascii="Verdana" w:hAnsi="Verdana"/>
          <w:lang w:val="en-GB"/>
        </w:rPr>
        <w:t>Thank you and questions.</w:t>
      </w:r>
    </w:p>
    <w:p w:rsidR="00A14A49" w:rsidRPr="000B0DC0" w:rsidRDefault="00A14A49" w:rsidP="00D77A51">
      <w:pPr>
        <w:rPr>
          <w:rFonts w:ascii="Verdana" w:hAnsi="Verdana"/>
          <w:b/>
          <w:lang w:val="en-GB"/>
        </w:rPr>
      </w:pPr>
    </w:p>
    <w:p w:rsidR="00A14A49" w:rsidRPr="000B0DC0" w:rsidRDefault="00A14A49" w:rsidP="00D77A51">
      <w:pPr>
        <w:rPr>
          <w:rFonts w:ascii="Verdana" w:hAnsi="Verdana"/>
          <w:lang w:val="en-GB"/>
        </w:rPr>
      </w:pPr>
      <w:r w:rsidRPr="000B0DC0">
        <w:rPr>
          <w:rFonts w:ascii="Verdana" w:hAnsi="Verdana"/>
          <w:b/>
          <w:lang w:val="en-GB"/>
        </w:rPr>
        <w:t xml:space="preserve">Slide 13-14: </w:t>
      </w:r>
      <w:r w:rsidRPr="000B0DC0">
        <w:rPr>
          <w:rFonts w:ascii="Verdana" w:hAnsi="Verdana"/>
          <w:lang w:val="en-GB"/>
        </w:rPr>
        <w:t>References.</w:t>
      </w:r>
    </w:p>
    <w:p w:rsidR="00A14A49" w:rsidRPr="000B0DC0" w:rsidRDefault="00A14A49" w:rsidP="00D77A51">
      <w:pPr>
        <w:rPr>
          <w:rFonts w:ascii="Verdana" w:hAnsi="Verdana"/>
          <w:lang w:val="en-GB"/>
        </w:rPr>
      </w:pPr>
    </w:p>
    <w:p w:rsidR="00A14A49" w:rsidRPr="000B0DC0" w:rsidRDefault="00A14A49" w:rsidP="00D77A51">
      <w:pPr>
        <w:rPr>
          <w:rFonts w:ascii="Verdana" w:hAnsi="Verdana"/>
          <w:lang w:val="en-GB"/>
        </w:rPr>
      </w:pPr>
      <w:r w:rsidRPr="000B0DC0">
        <w:rPr>
          <w:rFonts w:ascii="Verdana" w:hAnsi="Verdana"/>
          <w:b/>
          <w:lang w:val="en-GB"/>
        </w:rPr>
        <w:t xml:space="preserve">Slide 15: </w:t>
      </w:r>
      <w:r w:rsidRPr="000B0DC0">
        <w:rPr>
          <w:rFonts w:ascii="Verdana" w:hAnsi="Verdana"/>
          <w:lang w:val="en-GB"/>
        </w:rPr>
        <w:t xml:space="preserve">European Commission disclaimer. </w:t>
      </w:r>
    </w:p>
    <w:p w:rsidR="00A14A49" w:rsidRPr="000B0DC0" w:rsidRDefault="00A14A49" w:rsidP="00D77A51">
      <w:pPr>
        <w:rPr>
          <w:rFonts w:ascii="Verdana" w:hAnsi="Verdana"/>
          <w:lang w:val="en-GB"/>
        </w:rPr>
      </w:pPr>
    </w:p>
    <w:p w:rsidR="00A14A49" w:rsidRPr="000B0DC0" w:rsidRDefault="00A14A49" w:rsidP="00D77A51">
      <w:pPr>
        <w:rPr>
          <w:rFonts w:ascii="Verdana" w:hAnsi="Verdana"/>
          <w:szCs w:val="22"/>
          <w:lang w:val="en-GB"/>
        </w:rPr>
      </w:pPr>
    </w:p>
    <w:p w:rsidR="00A14A49" w:rsidRPr="000B0DC0" w:rsidRDefault="00A14A49" w:rsidP="00D77A51">
      <w:pPr>
        <w:numPr>
          <w:ilvl w:val="0"/>
          <w:numId w:val="1"/>
        </w:numPr>
        <w:rPr>
          <w:rFonts w:ascii="Verdana" w:hAnsi="Verdana"/>
          <w:b/>
          <w:color w:val="000080"/>
          <w:szCs w:val="22"/>
          <w:lang w:val="en-GB"/>
        </w:rPr>
      </w:pPr>
      <w:r w:rsidRPr="000B0DC0">
        <w:rPr>
          <w:rFonts w:ascii="Verdana" w:hAnsi="Verdana"/>
          <w:b/>
          <w:color w:val="000080"/>
          <w:szCs w:val="22"/>
          <w:lang w:val="en-GB"/>
        </w:rPr>
        <w:t>Readings</w:t>
      </w:r>
    </w:p>
    <w:p w:rsidR="00A14A49" w:rsidRPr="000B0DC0" w:rsidRDefault="00A14A49" w:rsidP="00D77A51">
      <w:pPr>
        <w:ind w:left="360"/>
        <w:rPr>
          <w:rFonts w:ascii="Verdana" w:hAnsi="Verdana"/>
          <w:b/>
          <w:color w:val="000080"/>
          <w:sz w:val="24"/>
          <w:lang w:val="en-GB"/>
        </w:rPr>
      </w:pPr>
    </w:p>
    <w:p w:rsidR="00A14A49" w:rsidRPr="000B0DC0" w:rsidRDefault="00A14A49" w:rsidP="00D77A51">
      <w:pPr>
        <w:rPr>
          <w:rFonts w:ascii="Verdana" w:hAnsi="Verdana"/>
          <w:b/>
          <w:color w:val="000080"/>
          <w:szCs w:val="22"/>
          <w:lang w:val="en-GB"/>
        </w:rPr>
      </w:pPr>
      <w:r w:rsidRPr="000B0DC0">
        <w:rPr>
          <w:rFonts w:ascii="Verdana" w:hAnsi="Verdana"/>
          <w:b/>
          <w:color w:val="000080"/>
          <w:szCs w:val="22"/>
          <w:lang w:val="en-GB"/>
        </w:rPr>
        <w:t>Recommended Readings</w:t>
      </w:r>
    </w:p>
    <w:p w:rsidR="00A14A49" w:rsidRPr="00F65D01" w:rsidRDefault="00A14A49" w:rsidP="00F65D01">
      <w:pPr>
        <w:pStyle w:val="FootnoteText"/>
        <w:numPr>
          <w:ilvl w:val="0"/>
          <w:numId w:val="11"/>
        </w:numPr>
        <w:rPr>
          <w:rFonts w:ascii="Verdana" w:hAnsi="Verdana"/>
          <w:lang w:val="en-US"/>
        </w:rPr>
      </w:pPr>
      <w:r w:rsidRPr="00F65D01">
        <w:rPr>
          <w:rFonts w:ascii="Verdana" w:hAnsi="Verdana"/>
          <w:lang w:val="en-US"/>
        </w:rPr>
        <w:t xml:space="preserve">CHAFEA, Consumers, Health and Food Executive Agency, European Commission. Action on health inequalities in the European Union. Final version. The EU Health Programme’s contribution to fostering solidarity in health and reducing health inequalities in the European Union. Luxembourg: European Union, 2014. </w:t>
      </w:r>
      <w:hyperlink r:id="rId10" w:history="1">
        <w:r w:rsidRPr="00F65D01">
          <w:rPr>
            <w:rStyle w:val="Hyperlink"/>
            <w:rFonts w:ascii="Verdana" w:hAnsi="Verdana"/>
            <w:lang w:val="en-US"/>
          </w:rPr>
          <w:t>http://ec.europa.eu/chafea/documents/health/health-inequality-brochure_en.pdf</w:t>
        </w:r>
      </w:hyperlink>
      <w:r w:rsidRPr="00F65D01">
        <w:rPr>
          <w:rFonts w:ascii="Verdana" w:hAnsi="Verdana"/>
          <w:lang w:val="en-US"/>
        </w:rPr>
        <w:t xml:space="preserve"> (retrieved: March 5, 2015). </w:t>
      </w:r>
    </w:p>
    <w:p w:rsidR="00A14A49" w:rsidRPr="00F65D01" w:rsidRDefault="00A14A49" w:rsidP="00F65D01">
      <w:pPr>
        <w:pStyle w:val="FootnoteText"/>
        <w:numPr>
          <w:ilvl w:val="0"/>
          <w:numId w:val="11"/>
        </w:numPr>
        <w:rPr>
          <w:rFonts w:ascii="Verdana" w:hAnsi="Verdana"/>
          <w:lang w:val="en-US"/>
        </w:rPr>
      </w:pPr>
      <w:r w:rsidRPr="00F65D01">
        <w:rPr>
          <w:rFonts w:ascii="Verdana" w:hAnsi="Verdana"/>
          <w:lang w:val="en-US"/>
        </w:rPr>
        <w:t>Ståhl T, Wismar M, Ollila E, Lahtinen E, Leppo K. Health in All Policies. Prospects and potentials. Helsinki, Ministry of Social Affairs and Health, European Observatory on Health Systems and Policies, 2006, p. 5.</w:t>
      </w:r>
      <w:r>
        <w:rPr>
          <w:rFonts w:ascii="Verdana" w:hAnsi="Verdana"/>
          <w:lang w:val="en-US"/>
        </w:rPr>
        <w:t xml:space="preserve"> </w:t>
      </w:r>
      <w:hyperlink r:id="rId11" w:history="1">
        <w:r w:rsidRPr="00F65D01">
          <w:rPr>
            <w:rStyle w:val="Hyperlink"/>
            <w:rFonts w:ascii="Verdana" w:hAnsi="Verdana"/>
            <w:lang w:val="en-US"/>
          </w:rPr>
          <w:t>http://ec.europa.eu/health/ph_information/documents/health_in_all_policies.pdf</w:t>
        </w:r>
      </w:hyperlink>
      <w:r w:rsidRPr="00F65D01">
        <w:rPr>
          <w:rFonts w:ascii="Verdana" w:hAnsi="Verdana"/>
          <w:lang w:val="en-US"/>
        </w:rPr>
        <w:t xml:space="preserve"> (retrieved: March 5, 2015). </w:t>
      </w:r>
    </w:p>
    <w:p w:rsidR="00A14A49" w:rsidRPr="00F65D01" w:rsidRDefault="00A14A49" w:rsidP="00F65D01">
      <w:pPr>
        <w:pStyle w:val="FootnoteText"/>
        <w:numPr>
          <w:ilvl w:val="0"/>
          <w:numId w:val="11"/>
        </w:numPr>
        <w:rPr>
          <w:rFonts w:ascii="Verdana" w:hAnsi="Verdana"/>
          <w:lang w:val="en-GB"/>
        </w:rPr>
      </w:pPr>
      <w:r w:rsidRPr="00F65D01">
        <w:rPr>
          <w:rFonts w:ascii="Verdana" w:hAnsi="Verdana"/>
          <w:lang w:val="en-US"/>
        </w:rPr>
        <w:t xml:space="preserve">WHO, World Health Organization, Public Health Agency of Canada. Health Equity Through Intersectoral Action: An Analysis of 18 Country Case Studies. WHO, Public Health Agency of Canada, 2008. </w:t>
      </w:r>
      <w:hyperlink r:id="rId12" w:history="1">
        <w:r w:rsidRPr="00F65D01">
          <w:rPr>
            <w:rStyle w:val="Hyperlink"/>
            <w:rFonts w:ascii="Verdana" w:hAnsi="Verdana"/>
            <w:lang w:val="en-US"/>
          </w:rPr>
          <w:t>http://www.who.int/social_determinants/resources/health_equity_isa_2008_en.pdf?ua=1</w:t>
        </w:r>
      </w:hyperlink>
      <w:r w:rsidRPr="00F65D01">
        <w:rPr>
          <w:rFonts w:ascii="Verdana" w:hAnsi="Verdana"/>
          <w:lang w:val="en-US"/>
        </w:rPr>
        <w:t xml:space="preserve"> </w:t>
      </w:r>
      <w:r w:rsidRPr="00F65D01">
        <w:rPr>
          <w:rFonts w:ascii="Verdana" w:hAnsi="Verdana"/>
          <w:lang w:val="en-GB"/>
        </w:rPr>
        <w:t xml:space="preserve">(retrieved: March 5, 2015). </w:t>
      </w:r>
    </w:p>
    <w:p w:rsidR="00A14A49" w:rsidRPr="00F65D01" w:rsidRDefault="00A14A49" w:rsidP="00D77A51">
      <w:pPr>
        <w:pStyle w:val="FootnoteText"/>
        <w:jc w:val="both"/>
        <w:rPr>
          <w:rFonts w:ascii="Verdana" w:hAnsi="Verdana"/>
          <w:sz w:val="18"/>
          <w:lang w:val="en-GB"/>
        </w:rPr>
      </w:pPr>
    </w:p>
    <w:p w:rsidR="00A14A49" w:rsidRPr="00F65D01" w:rsidRDefault="00A14A49" w:rsidP="00D77A51">
      <w:pPr>
        <w:pStyle w:val="FootnoteText"/>
        <w:jc w:val="both"/>
        <w:rPr>
          <w:rFonts w:ascii="Verdana" w:hAnsi="Verdana"/>
          <w:sz w:val="18"/>
          <w:szCs w:val="18"/>
          <w:lang w:val="en-GB"/>
        </w:rPr>
      </w:pPr>
    </w:p>
    <w:p w:rsidR="00A14A49" w:rsidRPr="000B0DC0" w:rsidRDefault="00A14A49" w:rsidP="00D77A51">
      <w:pPr>
        <w:rPr>
          <w:rFonts w:ascii="Verdana" w:hAnsi="Verdana"/>
          <w:b/>
          <w:color w:val="000080"/>
          <w:szCs w:val="22"/>
        </w:rPr>
      </w:pPr>
      <w:r w:rsidRPr="000B0DC0">
        <w:rPr>
          <w:rFonts w:ascii="Verdana" w:hAnsi="Verdana"/>
          <w:b/>
          <w:color w:val="000080"/>
          <w:szCs w:val="22"/>
        </w:rPr>
        <w:t>Complementary Readings</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rPr>
        <w:t xml:space="preserve">CIMAS, Observatorio Internacional de Ciudadanía y Medio Ambiente Sostenible. </w:t>
      </w:r>
      <w:r w:rsidRPr="000B0DC0">
        <w:rPr>
          <w:rFonts w:ascii="Verdana" w:hAnsi="Verdana"/>
          <w:sz w:val="18"/>
          <w:szCs w:val="18"/>
          <w:lang w:val="en-GB"/>
        </w:rPr>
        <w:t xml:space="preserve">Metodologías Participativas. Manual, 2009. </w:t>
      </w:r>
      <w:hyperlink r:id="rId13" w:history="1">
        <w:r w:rsidRPr="000B0DC0">
          <w:rPr>
            <w:rStyle w:val="Hyperlink"/>
            <w:rFonts w:ascii="Verdana" w:hAnsi="Verdana"/>
            <w:sz w:val="18"/>
            <w:szCs w:val="18"/>
            <w:lang w:val="en-GB"/>
          </w:rPr>
          <w:t>http://www.redcimas.org/wordpress/wp-content/uploads/2012/09/manual_2010.pdf</w:t>
        </w:r>
      </w:hyperlink>
      <w:r w:rsidRPr="000B0DC0">
        <w:rPr>
          <w:rFonts w:ascii="Verdana" w:hAnsi="Verdana"/>
          <w:sz w:val="18"/>
          <w:szCs w:val="18"/>
          <w:lang w:val="en-GB"/>
        </w:rPr>
        <w:t xml:space="preserve"> </w:t>
      </w:r>
      <w:r w:rsidRPr="000B0DC0">
        <w:rPr>
          <w:rFonts w:ascii="Verdana" w:hAnsi="Verdana"/>
          <w:sz w:val="18"/>
          <w:szCs w:val="18"/>
          <w:lang w:val="en-US"/>
        </w:rPr>
        <w:t xml:space="preserve">(retrieved: March 5, 2015). </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 xml:space="preserve">CommunityToolBox. Section 3. Our Model of Practice: Building Capacity for Community and System Change. </w:t>
      </w:r>
      <w:hyperlink r:id="rId14" w:history="1">
        <w:r w:rsidRPr="000B0DC0">
          <w:rPr>
            <w:rStyle w:val="Hyperlink"/>
            <w:rFonts w:ascii="Verdana" w:hAnsi="Verdana"/>
            <w:sz w:val="18"/>
            <w:szCs w:val="18"/>
            <w:lang w:val="en-US"/>
          </w:rPr>
          <w:t>http://ctb.ku.edu/en/table-of-contents/overview/model-for-community-change-and-improvement</w:t>
        </w:r>
      </w:hyperlink>
      <w:r w:rsidRPr="000B0DC0">
        <w:rPr>
          <w:rFonts w:ascii="Verdana" w:hAnsi="Verdana"/>
          <w:sz w:val="18"/>
          <w:szCs w:val="18"/>
          <w:lang w:val="en-US"/>
        </w:rPr>
        <w:t xml:space="preserve"> (retrieved: March 5, 2015). </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Ingleby D. Ethnicity, Migration and the ‘Social Determinants of Health’ Agenda’. Psychosocial Intervention 2012;21(3):331-341.</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 xml:space="preserve">Marmot M (consortium leader). Health inequalities in the EU. Final report of a consortium. European Union 2013. </w:t>
      </w:r>
      <w:hyperlink r:id="rId15" w:history="1">
        <w:r w:rsidRPr="000B0DC0">
          <w:rPr>
            <w:rStyle w:val="Hyperlink"/>
            <w:rFonts w:ascii="Verdana" w:hAnsi="Verdana"/>
            <w:sz w:val="18"/>
            <w:szCs w:val="18"/>
            <w:lang w:val="en-US"/>
          </w:rPr>
          <w:t>http://ec.europa.eu/health/social_determinants/docs/healthinequalitiesineu_2013_en.pdf</w:t>
        </w:r>
      </w:hyperlink>
      <w:r w:rsidRPr="000B0DC0">
        <w:rPr>
          <w:rFonts w:ascii="Verdana" w:hAnsi="Verdana"/>
          <w:sz w:val="18"/>
          <w:szCs w:val="18"/>
          <w:lang w:val="en-US"/>
        </w:rPr>
        <w:t xml:space="preserve"> (retrieved: March 5, 2015). </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 xml:space="preserve">McQueen DV, Wismar M, Lin V, Jones CM, Davies M. Intersectoral Governance for Health in All Policies. Structures, actions and experiences. Observatory Studies Series 26.Copenhagen: WHO, World Health Organization, European Observatory on Health Systems and Policies, 2012. </w:t>
      </w:r>
      <w:hyperlink r:id="rId16" w:history="1">
        <w:r w:rsidRPr="000B0DC0">
          <w:rPr>
            <w:rStyle w:val="Hyperlink"/>
            <w:rFonts w:ascii="Verdana" w:hAnsi="Verdana"/>
            <w:sz w:val="18"/>
            <w:szCs w:val="18"/>
            <w:lang w:val="en-US"/>
          </w:rPr>
          <w:t>http://www.euro.who.int/__data/assets/pdf_file/0005/171707/Intersectoral-governance-for-health-in-all-policies.pdf</w:t>
        </w:r>
      </w:hyperlink>
      <w:r w:rsidRPr="000B0DC0">
        <w:rPr>
          <w:rFonts w:ascii="Verdana" w:hAnsi="Verdana"/>
          <w:sz w:val="18"/>
          <w:szCs w:val="18"/>
          <w:lang w:val="en-US"/>
        </w:rPr>
        <w:t xml:space="preserve"> (retrieved: March 5, 2015). </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 xml:space="preserve">Ministry of Health and Social Policy of Spain. Moving forward Equity in Health: Monitoring Social Determinants of Health and the Reduction of Health Inequalities. An independent expert report commissioned through the Spanish Presidency of the EU. Madrid: Ministry of Health and Social Policy of Spain, 2010. </w:t>
      </w:r>
      <w:hyperlink r:id="rId17" w:history="1">
        <w:r w:rsidRPr="000B0DC0">
          <w:rPr>
            <w:rStyle w:val="Hyperlink"/>
            <w:rFonts w:ascii="Verdana" w:hAnsi="Verdana"/>
            <w:sz w:val="18"/>
            <w:szCs w:val="18"/>
            <w:lang w:val="en-US"/>
          </w:rPr>
          <w:t>https://www.msssi.gob.es/profesionales/saludPublica/prevPromocion/promocion/desigualdadSalud/PresidenciaUE_2010/conferenciaExpertos/docs/haciaLaEquidadEnSalud_en.pdf</w:t>
        </w:r>
      </w:hyperlink>
      <w:r w:rsidRPr="000B0DC0">
        <w:rPr>
          <w:rFonts w:ascii="Verdana" w:hAnsi="Verdana"/>
          <w:sz w:val="18"/>
          <w:szCs w:val="18"/>
          <w:lang w:val="en-US"/>
        </w:rPr>
        <w:t xml:space="preserve"> (retrieved: March 5, 2015).</w:t>
      </w:r>
    </w:p>
    <w:p w:rsidR="00A14A49" w:rsidRPr="000B0DC0" w:rsidRDefault="00A14A49" w:rsidP="00F65D01">
      <w:pPr>
        <w:pStyle w:val="FootnoteText"/>
        <w:numPr>
          <w:ilvl w:val="0"/>
          <w:numId w:val="12"/>
        </w:numPr>
        <w:rPr>
          <w:rFonts w:ascii="Verdana" w:hAnsi="Verdana"/>
          <w:sz w:val="18"/>
          <w:szCs w:val="18"/>
          <w:lang w:val="es-ES_tradnl"/>
        </w:rPr>
      </w:pPr>
      <w:r w:rsidRPr="000B0DC0">
        <w:rPr>
          <w:rFonts w:ascii="Verdana" w:hAnsi="Verdana"/>
          <w:sz w:val="18"/>
          <w:szCs w:val="18"/>
          <w:lang w:val="es-ES_tradnl"/>
        </w:rPr>
        <w:t>Red Isir, Red Inmigración y Salud. Cuadernos audiovisuales para formación de profesionales en habilidades de comunicación con poblaciones inmigrantes. [DVD].</w:t>
      </w:r>
    </w:p>
    <w:p w:rsidR="00A14A49" w:rsidRPr="000B0DC0" w:rsidRDefault="00A14A49" w:rsidP="00F65D01">
      <w:pPr>
        <w:pStyle w:val="FootnoteText"/>
        <w:numPr>
          <w:ilvl w:val="0"/>
          <w:numId w:val="12"/>
        </w:numPr>
        <w:rPr>
          <w:rFonts w:ascii="Verdana" w:hAnsi="Verdana"/>
          <w:sz w:val="18"/>
          <w:szCs w:val="18"/>
        </w:rPr>
      </w:pPr>
      <w:r w:rsidRPr="000B0DC0">
        <w:rPr>
          <w:rFonts w:ascii="Verdana" w:hAnsi="Verdana"/>
          <w:sz w:val="18"/>
          <w:szCs w:val="18"/>
        </w:rPr>
        <w:t>Risler J, Ares P. Manual de mapeo colectivo: recursos cartográficos críticos para procesos territoriales de creación colaborativa. Buenos Aires: Tinta Limón, 2013. (retrieved: March 5, 2015).</w:t>
      </w:r>
    </w:p>
    <w:p w:rsidR="00A14A49" w:rsidRPr="00F65D01" w:rsidRDefault="00A14A49" w:rsidP="00F65D01">
      <w:pPr>
        <w:pStyle w:val="FootnoteText"/>
        <w:numPr>
          <w:ilvl w:val="0"/>
          <w:numId w:val="12"/>
        </w:numPr>
        <w:rPr>
          <w:rFonts w:ascii="Verdana" w:hAnsi="Verdana"/>
          <w:sz w:val="18"/>
          <w:szCs w:val="18"/>
        </w:rPr>
      </w:pPr>
      <w:r w:rsidRPr="000B0DC0">
        <w:rPr>
          <w:rFonts w:ascii="Verdana" w:hAnsi="Verdana"/>
          <w:sz w:val="18"/>
          <w:szCs w:val="18"/>
        </w:rPr>
        <w:t xml:space="preserve">Vervoordeldonk J, Dorgelo A, Timmermans H, Dimitrov P, Manolova A, Tsolova G, et al. Action for Health: Reducing Inequalities in Health. </w:t>
      </w:r>
      <w:r w:rsidRPr="000B0DC0">
        <w:rPr>
          <w:rFonts w:ascii="Verdana" w:hAnsi="Verdana"/>
          <w:sz w:val="18"/>
          <w:szCs w:val="18"/>
          <w:lang w:val="en-US"/>
        </w:rPr>
        <w:t xml:space="preserve">Situation Analysis and Needs Assessment in Seven EU-Countries and Regions. Murska Sobota: Institute of Public Health, 2013. </w:t>
      </w:r>
      <w:hyperlink r:id="rId18" w:history="1">
        <w:r w:rsidRPr="00F65D01">
          <w:rPr>
            <w:rStyle w:val="Hyperlink"/>
            <w:rFonts w:ascii="Verdana" w:hAnsi="Verdana"/>
            <w:sz w:val="18"/>
            <w:szCs w:val="18"/>
          </w:rPr>
          <w:t>http://www.action-for-health.eu/sites/default/files/files/Situation%20Analysis%20and%20Needs%20Assessment%20in%20Seven%20EU-Countries%20and%20Regions.pdf</w:t>
        </w:r>
      </w:hyperlink>
      <w:r w:rsidRPr="00F65D01">
        <w:rPr>
          <w:rFonts w:ascii="Verdana" w:hAnsi="Verdana"/>
          <w:sz w:val="18"/>
          <w:szCs w:val="18"/>
        </w:rPr>
        <w:t xml:space="preserve"> (retrieved: December 18. 2014). </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 xml:space="preserve">WHA, World Health Assembly. Health of Migrants. Report by the Secretariat, 2008a. </w:t>
      </w:r>
      <w:hyperlink r:id="rId19" w:history="1">
        <w:r w:rsidRPr="000B0DC0">
          <w:rPr>
            <w:rStyle w:val="Hyperlink"/>
            <w:rFonts w:ascii="Verdana" w:hAnsi="Verdana"/>
            <w:sz w:val="18"/>
            <w:szCs w:val="18"/>
            <w:lang w:val="en-US"/>
          </w:rPr>
          <w:t>http://apps.who.int/iris/bitstream/10665/23467/1/A61_12-en.pdf?ua=1</w:t>
        </w:r>
      </w:hyperlink>
      <w:r w:rsidRPr="000B0DC0">
        <w:rPr>
          <w:rFonts w:ascii="Verdana" w:hAnsi="Verdana"/>
          <w:sz w:val="18"/>
          <w:szCs w:val="18"/>
          <w:lang w:val="en-US"/>
        </w:rPr>
        <w:t xml:space="preserve"> (retrieved: March 5, 2015).</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 xml:space="preserve">WHA, World Health Assembly. Health of migrants. WHA61.17, 24 May 2008. WHA, 2008b. </w:t>
      </w:r>
      <w:hyperlink r:id="rId20" w:history="1">
        <w:r w:rsidRPr="000B0DC0">
          <w:rPr>
            <w:rStyle w:val="Hyperlink"/>
            <w:rFonts w:ascii="Verdana" w:hAnsi="Verdana"/>
            <w:sz w:val="18"/>
            <w:szCs w:val="18"/>
            <w:lang w:val="en-US"/>
          </w:rPr>
          <w:t>http://apps.who.int/gb/ebwha/pdf_files/A61/A61_R17-en.pdf</w:t>
        </w:r>
      </w:hyperlink>
      <w:r w:rsidRPr="000B0DC0">
        <w:rPr>
          <w:rFonts w:ascii="Verdana" w:hAnsi="Verdana"/>
          <w:sz w:val="18"/>
          <w:szCs w:val="18"/>
          <w:lang w:val="en-US"/>
        </w:rPr>
        <w:t xml:space="preserve"> (retrieved: March 5, 2015).</w:t>
      </w:r>
    </w:p>
    <w:p w:rsidR="00A14A49" w:rsidRPr="000B0DC0" w:rsidRDefault="00A14A49" w:rsidP="00F65D01">
      <w:pPr>
        <w:pStyle w:val="FootnoteText"/>
        <w:numPr>
          <w:ilvl w:val="0"/>
          <w:numId w:val="12"/>
        </w:numPr>
        <w:rPr>
          <w:rFonts w:ascii="Verdana" w:hAnsi="Verdana"/>
          <w:sz w:val="18"/>
          <w:szCs w:val="18"/>
          <w:lang w:val="en-GB"/>
        </w:rPr>
      </w:pPr>
      <w:r w:rsidRPr="000B0DC0">
        <w:rPr>
          <w:rFonts w:ascii="Verdana" w:hAnsi="Verdana"/>
          <w:sz w:val="18"/>
          <w:szCs w:val="18"/>
          <w:lang w:val="en-US"/>
        </w:rPr>
        <w:t>WHO, World Health Organization. A conceptual framework for action on the social determinants of health. Discussion</w:t>
      </w:r>
      <w:r w:rsidRPr="000B0DC0">
        <w:rPr>
          <w:rFonts w:ascii="Verdana" w:hAnsi="Verdana"/>
          <w:sz w:val="18"/>
          <w:szCs w:val="18"/>
          <w:lang w:val="en-GB"/>
        </w:rPr>
        <w:t xml:space="preserve"> Paper Series on Social Determinants of Health 2. Geneva: WHO, 2010. </w:t>
      </w:r>
      <w:hyperlink r:id="rId21" w:history="1">
        <w:r w:rsidRPr="000B0DC0">
          <w:rPr>
            <w:rStyle w:val="Hyperlink"/>
            <w:rFonts w:ascii="Verdana" w:hAnsi="Verdana"/>
            <w:sz w:val="18"/>
            <w:szCs w:val="18"/>
            <w:lang w:val="en-GB"/>
          </w:rPr>
          <w:t>http://www.who.int/sdhconference/resources/ConceptualframeworkforactiononSDH_eng.pdf</w:t>
        </w:r>
      </w:hyperlink>
      <w:r w:rsidRPr="000B0DC0">
        <w:rPr>
          <w:rFonts w:ascii="Verdana" w:hAnsi="Verdana"/>
          <w:sz w:val="18"/>
          <w:szCs w:val="18"/>
          <w:lang w:val="en-GB"/>
        </w:rPr>
        <w:t xml:space="preserve"> </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GB"/>
        </w:rPr>
        <w:t>(retrieved: March 5, 2015).</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 xml:space="preserve">WHO, World Health Organization. Commission on Social Determinants of Health. Closing the gap in a generation. Health equity through action on the social determinants of health. Geneva: WHO, 2008. </w:t>
      </w:r>
      <w:hyperlink r:id="rId22" w:history="1">
        <w:r w:rsidRPr="000B0DC0">
          <w:rPr>
            <w:rStyle w:val="Hyperlink"/>
            <w:rFonts w:ascii="Verdana" w:hAnsi="Verdana"/>
            <w:sz w:val="18"/>
            <w:szCs w:val="18"/>
            <w:lang w:val="en-US"/>
          </w:rPr>
          <w:t>http://whqlibdoc.who.int/publications/2008/9789241563703_eng.pdf</w:t>
        </w:r>
      </w:hyperlink>
      <w:r w:rsidRPr="000B0DC0">
        <w:rPr>
          <w:rFonts w:ascii="Verdana" w:hAnsi="Verdana"/>
          <w:sz w:val="18"/>
          <w:szCs w:val="18"/>
          <w:lang w:val="en-US"/>
        </w:rPr>
        <w:t xml:space="preserve"> (retrieved: March 5, 2015). </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 xml:space="preserve">WHO, World Health Organization. Discussion Paper Intersectoral Action on Health: A Path for Policy-Makers to Implement Effective and Sustainable Intersectoral Action on Health. First Global Ministerial Conference on Healthy Lifestyles and Noncommunicable Disease Control. Moscow, 28-29 April 2011. </w:t>
      </w:r>
      <w:hyperlink r:id="rId23" w:history="1">
        <w:r w:rsidRPr="000B0DC0">
          <w:rPr>
            <w:rStyle w:val="Hyperlink"/>
            <w:rFonts w:ascii="Verdana" w:hAnsi="Verdana"/>
            <w:sz w:val="18"/>
            <w:szCs w:val="18"/>
            <w:lang w:val="en-US"/>
          </w:rPr>
          <w:t>http://www.who.int/nmh/publications/ncds_policy_makers_to_implement_intersectoral_action.pdf</w:t>
        </w:r>
      </w:hyperlink>
      <w:r w:rsidRPr="000B0DC0">
        <w:rPr>
          <w:rFonts w:ascii="Verdana" w:hAnsi="Verdana"/>
          <w:sz w:val="18"/>
          <w:szCs w:val="18"/>
          <w:lang w:val="en-US"/>
        </w:rPr>
        <w:t xml:space="preserve"> (retrieved: March 5, 2015). </w:t>
      </w:r>
    </w:p>
    <w:p w:rsidR="00A14A49" w:rsidRPr="000B0DC0" w:rsidRDefault="00A14A49" w:rsidP="00F65D01">
      <w:pPr>
        <w:pStyle w:val="FootnoteText"/>
        <w:numPr>
          <w:ilvl w:val="0"/>
          <w:numId w:val="12"/>
        </w:numPr>
        <w:rPr>
          <w:rFonts w:ascii="Verdana" w:hAnsi="Verdana"/>
          <w:sz w:val="18"/>
          <w:szCs w:val="18"/>
          <w:lang w:val="en-US"/>
        </w:rPr>
      </w:pPr>
      <w:r w:rsidRPr="000B0DC0">
        <w:rPr>
          <w:rFonts w:ascii="Verdana" w:hAnsi="Verdana"/>
          <w:sz w:val="18"/>
          <w:szCs w:val="18"/>
          <w:lang w:val="en-US"/>
        </w:rPr>
        <w:t xml:space="preserve">WHO, World Health Organization. Health of migrants: the way forward – report of a global consultation. Madrid, Spain, 3-5 March 2010. </w:t>
      </w:r>
      <w:hyperlink r:id="rId24" w:history="1">
        <w:r w:rsidRPr="000B0DC0">
          <w:rPr>
            <w:rStyle w:val="Hyperlink"/>
            <w:rFonts w:ascii="Verdana" w:hAnsi="Verdana"/>
            <w:sz w:val="18"/>
            <w:szCs w:val="18"/>
            <w:lang w:val="en-US"/>
          </w:rPr>
          <w:t>http://www.who.int/hac/events/consultation_report_health_migrants_colour_web.pdf</w:t>
        </w:r>
      </w:hyperlink>
      <w:r w:rsidRPr="000B0DC0">
        <w:rPr>
          <w:rFonts w:ascii="Verdana" w:hAnsi="Verdana"/>
          <w:sz w:val="18"/>
          <w:szCs w:val="18"/>
          <w:lang w:val="en-US"/>
        </w:rPr>
        <w:t xml:space="preserve"> (retrieved: March 5, 2015).</w:t>
      </w:r>
    </w:p>
    <w:p w:rsidR="00A14A49" w:rsidRPr="000B0DC0" w:rsidRDefault="00A14A49" w:rsidP="00D77A51">
      <w:pPr>
        <w:rPr>
          <w:rFonts w:ascii="Verdana" w:hAnsi="Verdana"/>
          <w:sz w:val="18"/>
          <w:szCs w:val="18"/>
        </w:rPr>
      </w:pPr>
    </w:p>
    <w:p w:rsidR="00A14A49" w:rsidRPr="000B0DC0" w:rsidRDefault="00A14A49">
      <w:pPr>
        <w:rPr>
          <w:rFonts w:ascii="Verdana" w:hAnsi="Verdana"/>
        </w:rPr>
      </w:pPr>
    </w:p>
    <w:sectPr w:rsidR="00A14A49" w:rsidRPr="000B0DC0" w:rsidSect="00982BA8">
      <w:headerReference w:type="even" r:id="rId25"/>
      <w:headerReference w:type="default" r:id="rId26"/>
      <w:footerReference w:type="default" r:id="rId27"/>
      <w:headerReference w:type="first" r:id="rId28"/>
      <w:footerReference w:type="first" r:id="rId29"/>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49" w:rsidRDefault="00A14A49" w:rsidP="00D77A51">
      <w:r>
        <w:separator/>
      </w:r>
    </w:p>
  </w:endnote>
  <w:endnote w:type="continuationSeparator" w:id="0">
    <w:p w:rsidR="00A14A49" w:rsidRDefault="00A14A49" w:rsidP="00D77A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49" w:rsidRPr="00B761E6" w:rsidRDefault="00A14A49" w:rsidP="00B761E6">
    <w:pPr>
      <w:pStyle w:val="Footer"/>
      <w:jc w:val="right"/>
      <w:rPr>
        <w:rFonts w:ascii="Verdana" w:hAnsi="Verdana"/>
        <w:sz w:val="16"/>
        <w:szCs w:val="16"/>
      </w:rPr>
    </w:pPr>
    <w:r>
      <w:rPr>
        <w:noProof/>
      </w:rPr>
      <w:pict>
        <v:line id="Line 31" o:spid="_x0000_s2049" style="position:absolute;left:0;text-align:left;z-index:-251658240;visibility:visible" from="0,-1.4pt" to="441pt,-1.4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A14A49" w:rsidRPr="00B761E6" w:rsidRDefault="00A14A49" w:rsidP="00B761E6">
    <w:pPr>
      <w:pStyle w:val="Footer"/>
      <w:rPr>
        <w:rFonts w:ascii="Verdana" w:hAnsi="Verdana"/>
      </w:rPr>
    </w:pPr>
    <w:r w:rsidRPr="00B761E6">
      <w:rPr>
        <w:rFonts w:ascii="Verdana" w:hAnsi="Verdana"/>
        <w:i/>
        <w:sz w:val="16"/>
        <w:szCs w:val="16"/>
      </w:rPr>
      <w:t>September, 2015</w:t>
    </w:r>
  </w:p>
  <w:p w:rsidR="00A14A49" w:rsidRDefault="00A14A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49" w:rsidRDefault="00A14A49" w:rsidP="00366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4A49" w:rsidRDefault="00A14A49" w:rsidP="00342908">
    <w:pPr>
      <w:pStyle w:val="Footer"/>
      <w:ind w:right="360"/>
    </w:pPr>
    <w:r>
      <w:rPr>
        <w:noProof/>
      </w:rPr>
      <w:pict>
        <v:shapetype id="_x0000_t202" coordsize="21600,21600" o:spt="202" path="m,l,21600r21600,l21600,xe">
          <v:stroke joinstyle="miter"/>
          <v:path gradientshapeok="t" o:connecttype="rect"/>
        </v:shapetype>
        <v:shape id="Cuadro de texto 6" o:spid="_x0000_s2050" type="#_x0000_t202" style="position:absolute;margin-left:-16.5pt;margin-top:-43.35pt;width:23.45pt;height:20.6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" filled="f" stroked="f">
          <v:textbox style="mso-fit-shape-to-text:t">
            <w:txbxContent>
              <w:p w:rsidR="00A14A49" w:rsidRPr="00982BA8" w:rsidRDefault="00A14A49"/>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49" w:rsidRDefault="00A14A49" w:rsidP="00D77A51">
      <w:r>
        <w:separator/>
      </w:r>
    </w:p>
  </w:footnote>
  <w:footnote w:type="continuationSeparator" w:id="0">
    <w:p w:rsidR="00A14A49" w:rsidRDefault="00A14A49" w:rsidP="00D77A51">
      <w:r>
        <w:continuationSeparator/>
      </w:r>
    </w:p>
  </w:footnote>
  <w:footnote w:id="1">
    <w:p w:rsidR="00A14A49" w:rsidRPr="00F65D01" w:rsidRDefault="00A14A49" w:rsidP="00F65D01">
      <w:pPr>
        <w:pStyle w:val="FootnoteText"/>
        <w:rPr>
          <w:rFonts w:ascii="Verdana" w:hAnsi="Verdana"/>
          <w:sz w:val="18"/>
          <w:szCs w:val="18"/>
          <w:lang w:val="en-US"/>
        </w:rPr>
      </w:pPr>
      <w:r w:rsidRPr="00F65D01">
        <w:rPr>
          <w:rStyle w:val="FootnoteReference"/>
          <w:rFonts w:ascii="Verdana" w:hAnsi="Verdana"/>
          <w:sz w:val="18"/>
          <w:szCs w:val="18"/>
        </w:rPr>
        <w:footnoteRef/>
      </w:r>
      <w:r w:rsidRPr="00F65D01">
        <w:rPr>
          <w:rFonts w:ascii="Verdana" w:hAnsi="Verdana"/>
          <w:sz w:val="18"/>
          <w:szCs w:val="18"/>
          <w:lang w:val="en-US"/>
        </w:rPr>
        <w:t xml:space="preserve"> WHO, World Health Organization, Public Health Agency of </w:t>
      </w:r>
      <w:smartTag w:uri="urn:schemas-microsoft-com:office:smarttags" w:element="place">
        <w:smartTag w:uri="urn:schemas-microsoft-com:office:smarttags" w:element="country-region">
          <w:r w:rsidRPr="00F65D01">
            <w:rPr>
              <w:rFonts w:ascii="Verdana" w:hAnsi="Verdana"/>
              <w:sz w:val="18"/>
              <w:szCs w:val="18"/>
              <w:lang w:val="en-US"/>
            </w:rPr>
            <w:t>Canada</w:t>
          </w:r>
        </w:smartTag>
      </w:smartTag>
      <w:r w:rsidRPr="00F65D01">
        <w:rPr>
          <w:rFonts w:ascii="Verdana" w:hAnsi="Verdana"/>
          <w:sz w:val="18"/>
          <w:szCs w:val="18"/>
          <w:lang w:val="en-US"/>
        </w:rPr>
        <w:t xml:space="preserve">. Health Equity Through Intersectoral Action: An Analysis of 18 Country Case Studies. WHO, Public Health Agency of </w:t>
      </w:r>
      <w:smartTag w:uri="urn:schemas-microsoft-com:office:smarttags" w:element="place">
        <w:smartTag w:uri="urn:schemas-microsoft-com:office:smarttags" w:element="country-region">
          <w:r w:rsidRPr="00F65D01">
            <w:rPr>
              <w:rFonts w:ascii="Verdana" w:hAnsi="Verdana"/>
              <w:sz w:val="18"/>
              <w:szCs w:val="18"/>
              <w:lang w:val="en-US"/>
            </w:rPr>
            <w:t>Canada</w:t>
          </w:r>
        </w:smartTag>
      </w:smartTag>
      <w:r w:rsidRPr="00F65D01">
        <w:rPr>
          <w:rFonts w:ascii="Verdana" w:hAnsi="Verdana"/>
          <w:sz w:val="18"/>
          <w:szCs w:val="18"/>
          <w:lang w:val="en-US"/>
        </w:rPr>
        <w:t xml:space="preserve">, 2008. </w:t>
      </w:r>
    </w:p>
    <w:p w:rsidR="00A14A49" w:rsidRDefault="00A14A49" w:rsidP="00F65D01">
      <w:pPr>
        <w:pStyle w:val="FootnoteText"/>
      </w:pPr>
      <w:hyperlink r:id="rId1" w:history="1">
        <w:r w:rsidRPr="00F65D01">
          <w:rPr>
            <w:rStyle w:val="Hyperlink"/>
            <w:rFonts w:ascii="Verdana" w:hAnsi="Verdana"/>
            <w:sz w:val="18"/>
            <w:szCs w:val="18"/>
            <w:lang w:val="en-US"/>
          </w:rPr>
          <w:t>http://www.who.int/social_determinants/resources/health_equity_isa_2008_en.pdf?ua=1</w:t>
        </w:r>
      </w:hyperlink>
      <w:r w:rsidRPr="00F65D01">
        <w:rPr>
          <w:rFonts w:ascii="Verdana" w:hAnsi="Verdana"/>
          <w:sz w:val="18"/>
          <w:szCs w:val="18"/>
          <w:lang w:val="en-US"/>
        </w:rPr>
        <w:t xml:space="preserve"> (retrieved: March 5, 2015). </w:t>
      </w:r>
    </w:p>
  </w:footnote>
  <w:footnote w:id="2">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lang w:val="en-US"/>
        </w:rPr>
        <w:t xml:space="preserve"> Ståhl T, </w:t>
      </w:r>
      <w:smartTag w:uri="urn:schemas-microsoft-com:office:smarttags" w:element="place">
        <w:smartTag w:uri="urn:schemas-microsoft-com:office:smarttags" w:element="City">
          <w:r w:rsidRPr="00F65D01">
            <w:rPr>
              <w:rFonts w:ascii="Verdana" w:hAnsi="Verdana"/>
              <w:sz w:val="18"/>
              <w:szCs w:val="18"/>
              <w:lang w:val="en-US"/>
            </w:rPr>
            <w:t>Wismar</w:t>
          </w:r>
        </w:smartTag>
      </w:smartTag>
      <w:r w:rsidRPr="00F65D01">
        <w:rPr>
          <w:rFonts w:ascii="Verdana" w:hAnsi="Verdana"/>
          <w:sz w:val="18"/>
          <w:szCs w:val="18"/>
          <w:lang w:val="en-US"/>
        </w:rPr>
        <w:t xml:space="preserve"> M, Ollila E, Lahtinen E, Leppo K. Health in All Policies. Prospects and potentials. </w:t>
      </w:r>
      <w:smartTag w:uri="urn:schemas-microsoft-com:office:smarttags" w:element="place">
        <w:smartTag w:uri="urn:schemas-microsoft-com:office:smarttags" w:element="City">
          <w:r w:rsidRPr="00F65D01">
            <w:rPr>
              <w:rFonts w:ascii="Verdana" w:hAnsi="Verdana"/>
              <w:sz w:val="18"/>
              <w:szCs w:val="18"/>
              <w:lang w:val="en-US"/>
            </w:rPr>
            <w:t>Helsinki</w:t>
          </w:r>
        </w:smartTag>
      </w:smartTag>
      <w:r w:rsidRPr="00F65D01">
        <w:rPr>
          <w:rFonts w:ascii="Verdana" w:hAnsi="Verdana"/>
          <w:sz w:val="18"/>
          <w:szCs w:val="18"/>
          <w:lang w:val="en-US"/>
        </w:rPr>
        <w:t xml:space="preserve">, Ministry of Social Affairs and Health, European Observatory on Health Systems and Policies, 2006, p. 5. </w:t>
      </w:r>
      <w:hyperlink r:id="rId2" w:history="1">
        <w:r w:rsidRPr="00F65D01">
          <w:rPr>
            <w:rStyle w:val="Hyperlink"/>
            <w:rFonts w:ascii="Verdana" w:hAnsi="Verdana"/>
            <w:sz w:val="18"/>
            <w:szCs w:val="18"/>
            <w:lang w:val="en-US"/>
          </w:rPr>
          <w:t>http://ec.europa.eu/health/ph_information/documents/health_in_all_policies.pdf</w:t>
        </w:r>
      </w:hyperlink>
      <w:r w:rsidRPr="00F65D01">
        <w:rPr>
          <w:rFonts w:ascii="Verdana" w:hAnsi="Verdana"/>
          <w:sz w:val="18"/>
          <w:szCs w:val="18"/>
          <w:lang w:val="en-US"/>
        </w:rPr>
        <w:t xml:space="preserve"> (retrieved: March 5, 2015). </w:t>
      </w:r>
    </w:p>
  </w:footnote>
  <w:footnote w:id="3">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lang w:val="en-US"/>
        </w:rPr>
        <w:t xml:space="preserve"> CHAFEA, Consumers, Health and Food Executive Agency, European Commission. Action on health inequalities in the European Union. Final version. The EU Health Programme’s contribution to fostering solidarity in health and reducing health inequalities in the European Union. </w:t>
      </w:r>
      <w:smartTag w:uri="urn:schemas-microsoft-com:office:smarttags" w:element="place">
        <w:smartTag w:uri="urn:schemas-microsoft-com:office:smarttags" w:element="country-region">
          <w:r w:rsidRPr="00F65D01">
            <w:rPr>
              <w:rFonts w:ascii="Verdana" w:hAnsi="Verdana"/>
              <w:sz w:val="18"/>
              <w:szCs w:val="18"/>
              <w:lang w:val="en-US"/>
            </w:rPr>
            <w:t>Luxembourg</w:t>
          </w:r>
        </w:smartTag>
      </w:smartTag>
      <w:r w:rsidRPr="00F65D01">
        <w:rPr>
          <w:rFonts w:ascii="Verdana" w:hAnsi="Verdana"/>
          <w:sz w:val="18"/>
          <w:szCs w:val="18"/>
          <w:lang w:val="en-US"/>
        </w:rPr>
        <w:t xml:space="preserve">: European Union, 2014. </w:t>
      </w:r>
      <w:hyperlink r:id="rId3" w:history="1">
        <w:r w:rsidRPr="00F65D01">
          <w:rPr>
            <w:rStyle w:val="Hyperlink"/>
            <w:rFonts w:ascii="Verdana" w:hAnsi="Verdana"/>
            <w:sz w:val="18"/>
            <w:szCs w:val="18"/>
            <w:lang w:val="en-US"/>
          </w:rPr>
          <w:t>http://ec.europa.eu/chafea/documents/health/health-inequality-brochure_en.pdf</w:t>
        </w:r>
      </w:hyperlink>
      <w:r w:rsidRPr="00F65D01">
        <w:rPr>
          <w:rFonts w:ascii="Verdana" w:hAnsi="Verdana"/>
          <w:sz w:val="18"/>
          <w:szCs w:val="18"/>
          <w:lang w:val="en-US"/>
        </w:rPr>
        <w:t xml:space="preserve"> (retrieved: March 5, 2015). </w:t>
      </w:r>
    </w:p>
  </w:footnote>
  <w:footnote w:id="4">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lang w:val="da-DK"/>
        </w:rPr>
        <w:t xml:space="preserve"> Ståhl et al., 2006, op. cit. </w:t>
      </w:r>
    </w:p>
  </w:footnote>
  <w:footnote w:id="5">
    <w:p w:rsidR="00A14A49" w:rsidRPr="00F65D01" w:rsidRDefault="00A14A49" w:rsidP="00F65D01">
      <w:pPr>
        <w:pStyle w:val="FootnoteText"/>
        <w:rPr>
          <w:rFonts w:ascii="Verdana" w:hAnsi="Verdana"/>
          <w:sz w:val="18"/>
          <w:szCs w:val="18"/>
          <w:lang w:val="en-US"/>
        </w:rPr>
      </w:pPr>
      <w:r w:rsidRPr="00F65D01">
        <w:rPr>
          <w:rStyle w:val="FootnoteReference"/>
          <w:rFonts w:ascii="Verdana" w:hAnsi="Verdana"/>
          <w:sz w:val="18"/>
          <w:szCs w:val="18"/>
        </w:rPr>
        <w:footnoteRef/>
      </w:r>
      <w:r w:rsidRPr="00F65D01">
        <w:rPr>
          <w:rFonts w:ascii="Verdana" w:hAnsi="Verdana"/>
          <w:sz w:val="18"/>
          <w:szCs w:val="18"/>
          <w:lang w:val="en-US"/>
        </w:rPr>
        <w:t xml:space="preserve"> McQueen DV, </w:t>
      </w:r>
      <w:smartTag w:uri="urn:schemas-microsoft-com:office:smarttags" w:element="place">
        <w:smartTag w:uri="urn:schemas-microsoft-com:office:smarttags" w:element="City">
          <w:r w:rsidRPr="00F65D01">
            <w:rPr>
              <w:rFonts w:ascii="Verdana" w:hAnsi="Verdana"/>
              <w:sz w:val="18"/>
              <w:szCs w:val="18"/>
              <w:lang w:val="en-US"/>
            </w:rPr>
            <w:t>Wismar</w:t>
          </w:r>
        </w:smartTag>
      </w:smartTag>
      <w:r w:rsidRPr="00F65D01">
        <w:rPr>
          <w:rFonts w:ascii="Verdana" w:hAnsi="Verdana"/>
          <w:sz w:val="18"/>
          <w:szCs w:val="18"/>
          <w:lang w:val="en-US"/>
        </w:rPr>
        <w:t xml:space="preserve"> M, Lin V, Jones CM, Davies M. Intersectoral Governance for Health in All Policies. Structures, actions and experiences. Observatory Studies Series 26.Copenhagen: WHO, World Health Organization, European Observatory on Health Systems and Policies, 2012. </w:t>
      </w:r>
    </w:p>
    <w:p w:rsidR="00A14A49" w:rsidRDefault="00A14A49" w:rsidP="00F65D01">
      <w:pPr>
        <w:pStyle w:val="FootnoteText"/>
      </w:pPr>
      <w:hyperlink r:id="rId4" w:history="1">
        <w:r w:rsidRPr="00F65D01">
          <w:rPr>
            <w:rStyle w:val="Hyperlink"/>
            <w:rFonts w:ascii="Verdana" w:hAnsi="Verdana"/>
            <w:sz w:val="18"/>
            <w:szCs w:val="18"/>
            <w:lang w:val="en-US"/>
          </w:rPr>
          <w:t>http://www.euro.who.int/__data/assets/pdf_file/0005/171707/Intersectoral-governance-for-health-in-all-policies.pdf</w:t>
        </w:r>
      </w:hyperlink>
      <w:r w:rsidRPr="00F65D01">
        <w:rPr>
          <w:rFonts w:ascii="Verdana" w:hAnsi="Verdana"/>
          <w:sz w:val="18"/>
          <w:szCs w:val="18"/>
          <w:lang w:val="en-US"/>
        </w:rPr>
        <w:t xml:space="preserve"> (retrieved: March 5, 2015). </w:t>
      </w:r>
    </w:p>
  </w:footnote>
  <w:footnote w:id="6">
    <w:p w:rsidR="00A14A49" w:rsidRPr="00F65D01" w:rsidRDefault="00A14A49" w:rsidP="00F65D01">
      <w:pPr>
        <w:pStyle w:val="FootnoteText"/>
        <w:rPr>
          <w:rFonts w:ascii="Verdana" w:hAnsi="Verdana"/>
          <w:sz w:val="18"/>
          <w:szCs w:val="18"/>
          <w:lang w:val="en-US"/>
        </w:rPr>
      </w:pPr>
      <w:r w:rsidRPr="00F65D01">
        <w:rPr>
          <w:rStyle w:val="FootnoteReference"/>
          <w:rFonts w:ascii="Verdana" w:hAnsi="Verdana"/>
          <w:sz w:val="18"/>
          <w:szCs w:val="18"/>
        </w:rPr>
        <w:footnoteRef/>
      </w:r>
      <w:r w:rsidRPr="00F65D01">
        <w:rPr>
          <w:rFonts w:ascii="Verdana" w:hAnsi="Verdana"/>
          <w:sz w:val="18"/>
          <w:szCs w:val="18"/>
          <w:lang w:val="en-US"/>
        </w:rPr>
        <w:t xml:space="preserve"> WHO, World Health Organization. Discussion Paper Intersectoral Action on Health: A Path for Policy-Makers to Implement Effective and Sustainable Intersectoral Action on Health. First Global Ministerial Conference on Healthy Lifestyles and Noncommunicable Disease Control. </w:t>
      </w:r>
      <w:smartTag w:uri="urn:schemas-microsoft-com:office:smarttags" w:element="place">
        <w:smartTag w:uri="urn:schemas-microsoft-com:office:smarttags" w:element="City">
          <w:r w:rsidRPr="00F65D01">
            <w:rPr>
              <w:rFonts w:ascii="Verdana" w:hAnsi="Verdana"/>
              <w:sz w:val="18"/>
              <w:szCs w:val="18"/>
              <w:lang w:val="en-US"/>
            </w:rPr>
            <w:t>Moscow</w:t>
          </w:r>
        </w:smartTag>
      </w:smartTag>
      <w:r w:rsidRPr="00F65D01">
        <w:rPr>
          <w:rFonts w:ascii="Verdana" w:hAnsi="Verdana"/>
          <w:sz w:val="18"/>
          <w:szCs w:val="18"/>
          <w:lang w:val="en-US"/>
        </w:rPr>
        <w:t xml:space="preserve">, 28-29 April 2011. </w:t>
      </w:r>
    </w:p>
    <w:p w:rsidR="00A14A49" w:rsidRDefault="00A14A49" w:rsidP="00F65D01">
      <w:pPr>
        <w:pStyle w:val="FootnoteText"/>
      </w:pPr>
      <w:hyperlink r:id="rId5" w:history="1">
        <w:r w:rsidRPr="00F65D01">
          <w:rPr>
            <w:rStyle w:val="Hyperlink"/>
            <w:rFonts w:ascii="Verdana" w:hAnsi="Verdana"/>
            <w:sz w:val="18"/>
            <w:szCs w:val="18"/>
            <w:lang w:val="en-US"/>
          </w:rPr>
          <w:t>http://www.who.int/nmh/publications/ncds_policy_makers_to_implement_intersectoral_action.pdf</w:t>
        </w:r>
      </w:hyperlink>
      <w:r w:rsidRPr="00F65D01">
        <w:rPr>
          <w:rFonts w:ascii="Verdana" w:hAnsi="Verdana"/>
          <w:sz w:val="18"/>
          <w:szCs w:val="18"/>
          <w:lang w:val="en-US"/>
        </w:rPr>
        <w:t xml:space="preserve"> (retrieved: March 5, 2015). </w:t>
      </w:r>
    </w:p>
  </w:footnote>
  <w:footnote w:id="7">
    <w:p w:rsidR="00A14A49" w:rsidRPr="00F65D01" w:rsidRDefault="00A14A49" w:rsidP="00F65D01">
      <w:pPr>
        <w:pStyle w:val="FootnoteText"/>
        <w:rPr>
          <w:rFonts w:ascii="Verdana" w:hAnsi="Verdana"/>
          <w:sz w:val="18"/>
          <w:szCs w:val="18"/>
          <w:lang w:val="en-US"/>
        </w:rPr>
      </w:pPr>
      <w:r w:rsidRPr="00F65D01">
        <w:rPr>
          <w:rStyle w:val="FootnoteReference"/>
          <w:rFonts w:ascii="Verdana" w:hAnsi="Verdana"/>
          <w:sz w:val="18"/>
          <w:szCs w:val="18"/>
        </w:rPr>
        <w:footnoteRef/>
      </w:r>
      <w:r w:rsidRPr="00F65D01">
        <w:rPr>
          <w:rFonts w:ascii="Verdana" w:hAnsi="Verdana"/>
          <w:sz w:val="18"/>
          <w:szCs w:val="18"/>
          <w:lang w:val="en-US"/>
        </w:rPr>
        <w:t xml:space="preserve"> Vervoordeldonk J, Dorgelo A, Timmermans H, Dimitrov P, Manolova A, Tsolova G, et al. Action for Health: Reducing Inequalities in Health. Situation Analysis and Needs Assessment in Seven EU-Countries and Regions. Murska Sobota: </w:t>
      </w:r>
      <w:smartTag w:uri="urn:schemas-microsoft-com:office:smarttags" w:element="place">
        <w:smartTag w:uri="urn:schemas-microsoft-com:office:smarttags" w:element="PlaceType">
          <w:r w:rsidRPr="00F65D01">
            <w:rPr>
              <w:rFonts w:ascii="Verdana" w:hAnsi="Verdana"/>
              <w:sz w:val="18"/>
              <w:szCs w:val="18"/>
              <w:lang w:val="en-US"/>
            </w:rPr>
            <w:t>Institute</w:t>
          </w:r>
        </w:smartTag>
        <w:r w:rsidRPr="00F65D01">
          <w:rPr>
            <w:rFonts w:ascii="Verdana" w:hAnsi="Verdana"/>
            <w:sz w:val="18"/>
            <w:szCs w:val="18"/>
            <w:lang w:val="en-US"/>
          </w:rPr>
          <w:t xml:space="preserve"> of </w:t>
        </w:r>
        <w:smartTag w:uri="urn:schemas-microsoft-com:office:smarttags" w:element="PlaceName">
          <w:r w:rsidRPr="00F65D01">
            <w:rPr>
              <w:rFonts w:ascii="Verdana" w:hAnsi="Verdana"/>
              <w:sz w:val="18"/>
              <w:szCs w:val="18"/>
              <w:lang w:val="en-US"/>
            </w:rPr>
            <w:t>Public Health</w:t>
          </w:r>
        </w:smartTag>
      </w:smartTag>
      <w:r w:rsidRPr="00F65D01">
        <w:rPr>
          <w:rFonts w:ascii="Verdana" w:hAnsi="Verdana"/>
          <w:sz w:val="18"/>
          <w:szCs w:val="18"/>
          <w:lang w:val="en-US"/>
        </w:rPr>
        <w:t xml:space="preserve">, 2013. </w:t>
      </w:r>
    </w:p>
    <w:p w:rsidR="00A14A49" w:rsidRDefault="00A14A49" w:rsidP="00F65D01">
      <w:pPr>
        <w:pStyle w:val="FootnoteText"/>
      </w:pPr>
      <w:hyperlink r:id="rId6" w:history="1">
        <w:r w:rsidRPr="00F65D01">
          <w:rPr>
            <w:rStyle w:val="Hyperlink"/>
            <w:rFonts w:ascii="Verdana" w:hAnsi="Verdana"/>
            <w:sz w:val="18"/>
            <w:szCs w:val="18"/>
            <w:lang w:val="en-US"/>
          </w:rPr>
          <w:t>http://www.action-for-health.eu/sites/default/files/files/Situation%20Analysis%20and%20Needs%20Assessment%20in%20Seven%20EU-Countries%20and%20Regions.pdf</w:t>
        </w:r>
      </w:hyperlink>
      <w:r w:rsidRPr="00F65D01">
        <w:rPr>
          <w:rFonts w:ascii="Verdana" w:hAnsi="Verdana"/>
          <w:sz w:val="18"/>
          <w:szCs w:val="18"/>
          <w:lang w:val="en-US"/>
        </w:rPr>
        <w:t xml:space="preserve"> (retrieved: December 18. 2014). </w:t>
      </w:r>
    </w:p>
  </w:footnote>
  <w:footnote w:id="8">
    <w:p w:rsidR="00A14A49" w:rsidRPr="00F65D01" w:rsidRDefault="00A14A49" w:rsidP="00F65D01">
      <w:pPr>
        <w:pStyle w:val="FootnoteText"/>
        <w:rPr>
          <w:rFonts w:ascii="Verdana" w:hAnsi="Verdana"/>
          <w:sz w:val="18"/>
          <w:szCs w:val="18"/>
          <w:lang w:val="en-GB"/>
        </w:rPr>
      </w:pPr>
      <w:r w:rsidRPr="00F65D01">
        <w:rPr>
          <w:rStyle w:val="FootnoteReference"/>
          <w:rFonts w:ascii="Verdana" w:hAnsi="Verdana"/>
          <w:sz w:val="18"/>
          <w:szCs w:val="18"/>
        </w:rPr>
        <w:footnoteRef/>
      </w:r>
      <w:r w:rsidRPr="00F65D01">
        <w:rPr>
          <w:rFonts w:ascii="Verdana" w:hAnsi="Verdana"/>
          <w:sz w:val="18"/>
          <w:szCs w:val="18"/>
          <w:lang w:val="en-US"/>
        </w:rPr>
        <w:t xml:space="preserve"> WHO, World Health Organization. A conceptual framework for action on the social determinants of health. Discussion</w:t>
      </w:r>
      <w:r w:rsidRPr="00F65D01">
        <w:rPr>
          <w:rFonts w:ascii="Verdana" w:hAnsi="Verdana"/>
          <w:sz w:val="18"/>
          <w:szCs w:val="18"/>
          <w:lang w:val="en-GB"/>
        </w:rPr>
        <w:t xml:space="preserve"> Paper Series on Social Determinants of Health 2. </w:t>
      </w:r>
      <w:smartTag w:uri="urn:schemas-microsoft-com:office:smarttags" w:element="place">
        <w:smartTag w:uri="urn:schemas-microsoft-com:office:smarttags" w:element="City">
          <w:r w:rsidRPr="00F65D01">
            <w:rPr>
              <w:rFonts w:ascii="Verdana" w:hAnsi="Verdana"/>
              <w:sz w:val="18"/>
              <w:szCs w:val="18"/>
              <w:lang w:val="en-GB"/>
            </w:rPr>
            <w:t>Geneva</w:t>
          </w:r>
        </w:smartTag>
      </w:smartTag>
      <w:r w:rsidRPr="00F65D01">
        <w:rPr>
          <w:rFonts w:ascii="Verdana" w:hAnsi="Verdana"/>
          <w:sz w:val="18"/>
          <w:szCs w:val="18"/>
          <w:lang w:val="en-GB"/>
        </w:rPr>
        <w:t>: WHO, 2010.</w:t>
      </w:r>
    </w:p>
    <w:p w:rsidR="00A14A49" w:rsidRPr="00F65D01" w:rsidRDefault="00A14A49" w:rsidP="00F65D01">
      <w:pPr>
        <w:pStyle w:val="FootnoteText"/>
        <w:rPr>
          <w:rFonts w:ascii="Verdana" w:hAnsi="Verdana"/>
          <w:sz w:val="18"/>
          <w:szCs w:val="18"/>
          <w:lang w:val="en-GB"/>
        </w:rPr>
      </w:pPr>
      <w:r w:rsidRPr="00F65D01">
        <w:rPr>
          <w:rFonts w:ascii="Verdana" w:hAnsi="Verdana"/>
          <w:sz w:val="18"/>
          <w:szCs w:val="18"/>
          <w:lang w:val="en-GB"/>
        </w:rPr>
        <w:t xml:space="preserve"> </w:t>
      </w:r>
      <w:hyperlink r:id="rId7" w:history="1">
        <w:r w:rsidRPr="00F65D01">
          <w:rPr>
            <w:rStyle w:val="Hyperlink"/>
            <w:rFonts w:ascii="Verdana" w:hAnsi="Verdana"/>
            <w:sz w:val="18"/>
            <w:szCs w:val="18"/>
            <w:lang w:val="en-GB"/>
          </w:rPr>
          <w:t>http://www.who.int/sdhconference/resources/ConceptualframeworkforactiononSDH_eng.pdf</w:t>
        </w:r>
      </w:hyperlink>
      <w:r w:rsidRPr="00F65D01">
        <w:rPr>
          <w:rFonts w:ascii="Verdana" w:hAnsi="Verdana"/>
          <w:sz w:val="18"/>
          <w:szCs w:val="18"/>
          <w:lang w:val="en-GB"/>
        </w:rPr>
        <w:t xml:space="preserve"> </w:t>
      </w:r>
    </w:p>
    <w:p w:rsidR="00A14A49" w:rsidRDefault="00A14A49" w:rsidP="00F65D01">
      <w:pPr>
        <w:pStyle w:val="FootnoteText"/>
      </w:pPr>
      <w:r w:rsidRPr="00F65D01">
        <w:rPr>
          <w:rFonts w:ascii="Verdana" w:hAnsi="Verdana"/>
          <w:sz w:val="18"/>
          <w:szCs w:val="18"/>
          <w:lang w:val="en-GB"/>
        </w:rPr>
        <w:t>(retrieved: March 5, 2015).</w:t>
      </w:r>
    </w:p>
  </w:footnote>
  <w:footnote w:id="9">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lang w:val="en-US"/>
        </w:rPr>
        <w:t xml:space="preserve"> WHO, World Health Organization. Commission on Social Determinants of Health. Closing the gap in a generation. Health equity through action on the social determinants of health. </w:t>
      </w:r>
      <w:smartTag w:uri="urn:schemas-microsoft-com:office:smarttags" w:element="place">
        <w:smartTag w:uri="urn:schemas-microsoft-com:office:smarttags" w:element="City">
          <w:r w:rsidRPr="00F65D01">
            <w:rPr>
              <w:rFonts w:ascii="Verdana" w:hAnsi="Verdana"/>
              <w:sz w:val="18"/>
              <w:szCs w:val="18"/>
              <w:lang w:val="en-US"/>
            </w:rPr>
            <w:t>Geneva</w:t>
          </w:r>
        </w:smartTag>
      </w:smartTag>
      <w:r w:rsidRPr="00F65D01">
        <w:rPr>
          <w:rFonts w:ascii="Verdana" w:hAnsi="Verdana"/>
          <w:sz w:val="18"/>
          <w:szCs w:val="18"/>
          <w:lang w:val="en-US"/>
        </w:rPr>
        <w:t xml:space="preserve">: WHO, 2008. </w:t>
      </w:r>
      <w:hyperlink r:id="rId8" w:history="1">
        <w:r w:rsidRPr="00F65D01">
          <w:rPr>
            <w:rStyle w:val="Hyperlink"/>
            <w:rFonts w:ascii="Verdana" w:hAnsi="Verdana"/>
            <w:sz w:val="18"/>
            <w:szCs w:val="18"/>
            <w:lang w:val="en-US"/>
          </w:rPr>
          <w:t>http://whqlibdoc.who.int/publications/2008/9789241563703_eng.pdf</w:t>
        </w:r>
      </w:hyperlink>
      <w:r w:rsidRPr="00F65D01">
        <w:rPr>
          <w:rFonts w:ascii="Verdana" w:hAnsi="Verdana"/>
          <w:sz w:val="18"/>
          <w:szCs w:val="18"/>
          <w:lang w:val="en-US"/>
        </w:rPr>
        <w:t xml:space="preserve"> (retrieved: March 5, 2015). </w:t>
      </w:r>
    </w:p>
  </w:footnote>
  <w:footnote w:id="10">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lang w:val="en-US"/>
        </w:rPr>
        <w:t xml:space="preserve"> Marmot M (consortium leader). Health inequalities in the EU. Final report of a consortium. European Union 2013. </w:t>
      </w:r>
      <w:hyperlink r:id="rId9" w:history="1">
        <w:r w:rsidRPr="00F65D01">
          <w:rPr>
            <w:rStyle w:val="Hyperlink"/>
            <w:rFonts w:ascii="Verdana" w:hAnsi="Verdana"/>
            <w:sz w:val="18"/>
            <w:szCs w:val="18"/>
            <w:lang w:val="en-US"/>
          </w:rPr>
          <w:t>http://ec.europa.eu/health/social_determinants/docs/healthinequalitiesineu_2013_en.pdf</w:t>
        </w:r>
      </w:hyperlink>
      <w:r w:rsidRPr="00F65D01">
        <w:rPr>
          <w:rFonts w:ascii="Verdana" w:hAnsi="Verdana"/>
          <w:sz w:val="18"/>
          <w:szCs w:val="18"/>
          <w:lang w:val="en-US"/>
        </w:rPr>
        <w:t xml:space="preserve"> (retrieved: March 5, 2015). </w:t>
      </w:r>
    </w:p>
  </w:footnote>
  <w:footnote w:id="11">
    <w:p w:rsidR="00A14A49" w:rsidRPr="00F65D01" w:rsidRDefault="00A14A49" w:rsidP="00F65D01">
      <w:pPr>
        <w:pStyle w:val="FootnoteText"/>
        <w:rPr>
          <w:rFonts w:ascii="Verdana" w:hAnsi="Verdana"/>
          <w:sz w:val="18"/>
          <w:szCs w:val="18"/>
          <w:lang w:val="en-US"/>
        </w:rPr>
      </w:pPr>
      <w:r w:rsidRPr="00F65D01">
        <w:rPr>
          <w:rStyle w:val="FootnoteReference"/>
          <w:rFonts w:ascii="Verdana" w:hAnsi="Verdana"/>
          <w:sz w:val="18"/>
          <w:szCs w:val="18"/>
        </w:rPr>
        <w:footnoteRef/>
      </w:r>
      <w:r w:rsidRPr="00F65D01">
        <w:rPr>
          <w:rFonts w:ascii="Verdana" w:hAnsi="Verdana"/>
          <w:sz w:val="18"/>
          <w:szCs w:val="18"/>
          <w:lang w:val="en-US"/>
        </w:rPr>
        <w:t xml:space="preserve"> Ministry of Health and Social Policy of </w:t>
      </w:r>
      <w:smartTag w:uri="urn:schemas-microsoft-com:office:smarttags" w:element="place">
        <w:smartTag w:uri="urn:schemas-microsoft-com:office:smarttags" w:element="country-region">
          <w:r w:rsidRPr="00F65D01">
            <w:rPr>
              <w:rFonts w:ascii="Verdana" w:hAnsi="Verdana"/>
              <w:sz w:val="18"/>
              <w:szCs w:val="18"/>
              <w:lang w:val="en-US"/>
            </w:rPr>
            <w:t>Spain</w:t>
          </w:r>
        </w:smartTag>
      </w:smartTag>
      <w:r w:rsidRPr="00F65D01">
        <w:rPr>
          <w:rFonts w:ascii="Verdana" w:hAnsi="Verdana"/>
          <w:sz w:val="18"/>
          <w:szCs w:val="18"/>
          <w:lang w:val="en-US"/>
        </w:rPr>
        <w:t xml:space="preserve">. Moving forward Equity in Health: Monitoring Social Determinants of Health and the Reduction of Health Inequalities. An independent expert report commissioned through the Spanish Presidency of the EU. </w:t>
      </w:r>
      <w:smartTag w:uri="urn:schemas-microsoft-com:office:smarttags" w:element="State">
        <w:r w:rsidRPr="00F65D01">
          <w:rPr>
            <w:rFonts w:ascii="Verdana" w:hAnsi="Verdana"/>
            <w:sz w:val="18"/>
            <w:szCs w:val="18"/>
            <w:lang w:val="en-US"/>
          </w:rPr>
          <w:t>Madrid</w:t>
        </w:r>
      </w:smartTag>
      <w:r w:rsidRPr="00F65D01">
        <w:rPr>
          <w:rFonts w:ascii="Verdana" w:hAnsi="Verdana"/>
          <w:sz w:val="18"/>
          <w:szCs w:val="18"/>
          <w:lang w:val="en-US"/>
        </w:rPr>
        <w:t xml:space="preserve">: Ministry of Health and Social Policy of </w:t>
      </w:r>
      <w:smartTag w:uri="urn:schemas-microsoft-com:office:smarttags" w:element="place">
        <w:smartTag w:uri="urn:schemas-microsoft-com:office:smarttags" w:element="country-region">
          <w:r w:rsidRPr="00F65D01">
            <w:rPr>
              <w:rFonts w:ascii="Verdana" w:hAnsi="Verdana"/>
              <w:sz w:val="18"/>
              <w:szCs w:val="18"/>
              <w:lang w:val="en-US"/>
            </w:rPr>
            <w:t>Spain</w:t>
          </w:r>
        </w:smartTag>
      </w:smartTag>
      <w:r w:rsidRPr="00F65D01">
        <w:rPr>
          <w:rFonts w:ascii="Verdana" w:hAnsi="Verdana"/>
          <w:sz w:val="18"/>
          <w:szCs w:val="18"/>
          <w:lang w:val="en-US"/>
        </w:rPr>
        <w:t xml:space="preserve">, 2010. </w:t>
      </w:r>
    </w:p>
    <w:p w:rsidR="00A14A49" w:rsidRDefault="00A14A49" w:rsidP="00F65D01">
      <w:pPr>
        <w:pStyle w:val="FootnoteText"/>
      </w:pPr>
      <w:hyperlink r:id="rId10" w:history="1">
        <w:r w:rsidRPr="00F65D01">
          <w:rPr>
            <w:rStyle w:val="Hyperlink"/>
            <w:rFonts w:ascii="Verdana" w:hAnsi="Verdana"/>
            <w:sz w:val="18"/>
            <w:szCs w:val="18"/>
            <w:lang w:val="en-US"/>
          </w:rPr>
          <w:t>https://www.msssi.gob.es/profesionales/saludPublica/prevPromocion/promocion/desigualdadSalud/PresidenciaUE_2010/conferenciaExpertos/docs/haciaLaEquidadEnSalud_en.pdf</w:t>
        </w:r>
      </w:hyperlink>
      <w:r w:rsidRPr="00F65D01">
        <w:rPr>
          <w:rFonts w:ascii="Verdana" w:hAnsi="Verdana"/>
          <w:sz w:val="18"/>
          <w:szCs w:val="18"/>
          <w:lang w:val="en-US"/>
        </w:rPr>
        <w:t xml:space="preserve"> (retrieved: March 5, 2015).</w:t>
      </w:r>
    </w:p>
  </w:footnote>
  <w:footnote w:id="12">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lang w:val="nl-NL"/>
        </w:rPr>
        <w:t xml:space="preserve"> CHAFEA 2014, op. cit., p. 21. </w:t>
      </w:r>
    </w:p>
  </w:footnote>
  <w:footnote w:id="13">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lang w:val="nl-NL"/>
        </w:rPr>
        <w:t xml:space="preserve"> CHAFEA 2014, op. cit., p. 21. </w:t>
      </w:r>
    </w:p>
  </w:footnote>
  <w:footnote w:id="14">
    <w:p w:rsidR="00A14A49" w:rsidRPr="00F65D01" w:rsidRDefault="00A14A49" w:rsidP="00F65D01">
      <w:pPr>
        <w:pStyle w:val="FootnoteText"/>
        <w:rPr>
          <w:rFonts w:ascii="Verdana" w:hAnsi="Verdana"/>
          <w:sz w:val="18"/>
          <w:szCs w:val="18"/>
          <w:lang w:val="en-US"/>
        </w:rPr>
      </w:pPr>
      <w:r w:rsidRPr="00F65D01">
        <w:rPr>
          <w:rStyle w:val="FootnoteReference"/>
          <w:rFonts w:ascii="Verdana" w:hAnsi="Verdana"/>
          <w:sz w:val="18"/>
          <w:szCs w:val="18"/>
        </w:rPr>
        <w:footnoteRef/>
      </w:r>
      <w:r w:rsidRPr="00F65D01">
        <w:rPr>
          <w:rFonts w:ascii="Verdana" w:hAnsi="Verdana"/>
          <w:sz w:val="18"/>
          <w:szCs w:val="18"/>
          <w:lang w:val="en-US"/>
        </w:rPr>
        <w:t xml:space="preserve"> World Health Assembly. Health of Migrants. Report by the Secretariat, 2008a. </w:t>
      </w:r>
    </w:p>
    <w:p w:rsidR="00A14A49" w:rsidRDefault="00A14A49" w:rsidP="00F65D01">
      <w:pPr>
        <w:pStyle w:val="FootnoteText"/>
      </w:pPr>
      <w:hyperlink r:id="rId11" w:history="1">
        <w:r w:rsidRPr="00F65D01">
          <w:rPr>
            <w:rStyle w:val="Hyperlink"/>
            <w:rFonts w:ascii="Verdana" w:hAnsi="Verdana"/>
            <w:sz w:val="18"/>
            <w:szCs w:val="18"/>
            <w:lang w:val="en-US"/>
          </w:rPr>
          <w:t>http://apps.who.int/iris/bitstream/10665/23467/1/A61_12-en.pdf?ua=1</w:t>
        </w:r>
      </w:hyperlink>
      <w:r w:rsidRPr="00F65D01">
        <w:rPr>
          <w:rFonts w:ascii="Verdana" w:hAnsi="Verdana"/>
          <w:sz w:val="18"/>
          <w:szCs w:val="18"/>
          <w:lang w:val="en-US"/>
        </w:rPr>
        <w:t xml:space="preserve"> (retrieved: March 5, 2015).</w:t>
      </w:r>
    </w:p>
  </w:footnote>
  <w:footnote w:id="15">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lang w:val="en-US"/>
        </w:rPr>
        <w:t xml:space="preserve"> WHA, World Health Assembly. Health of Migrants. WHA61.17, 24 May 2008. WHA, 2008b. </w:t>
      </w:r>
      <w:hyperlink r:id="rId12" w:history="1">
        <w:r w:rsidRPr="00F65D01">
          <w:rPr>
            <w:rStyle w:val="Hyperlink"/>
            <w:rFonts w:ascii="Verdana" w:hAnsi="Verdana"/>
            <w:sz w:val="18"/>
            <w:szCs w:val="18"/>
            <w:lang w:val="en-US"/>
          </w:rPr>
          <w:t>http://apps.who.int/gb/ebwha/pdf_files/A61/A61_R17-en.pdf</w:t>
        </w:r>
      </w:hyperlink>
      <w:r w:rsidRPr="00F65D01">
        <w:rPr>
          <w:rFonts w:ascii="Verdana" w:hAnsi="Verdana"/>
          <w:sz w:val="18"/>
          <w:szCs w:val="18"/>
          <w:lang w:val="en-US"/>
        </w:rPr>
        <w:t xml:space="preserve"> (retrieved: March 5, 2015).</w:t>
      </w:r>
    </w:p>
  </w:footnote>
  <w:footnote w:id="16">
    <w:p w:rsidR="00A14A49" w:rsidRPr="00F65D01" w:rsidRDefault="00A14A49" w:rsidP="00F65D01">
      <w:pPr>
        <w:pStyle w:val="FootnoteText"/>
        <w:rPr>
          <w:rFonts w:ascii="Verdana" w:hAnsi="Verdana"/>
          <w:sz w:val="18"/>
          <w:szCs w:val="18"/>
          <w:lang w:val="en-US"/>
        </w:rPr>
      </w:pPr>
      <w:r w:rsidRPr="00F65D01">
        <w:rPr>
          <w:rStyle w:val="FootnoteReference"/>
          <w:rFonts w:ascii="Verdana" w:hAnsi="Verdana"/>
          <w:sz w:val="18"/>
          <w:szCs w:val="18"/>
        </w:rPr>
        <w:footnoteRef/>
      </w:r>
      <w:r w:rsidRPr="00F65D01">
        <w:rPr>
          <w:rFonts w:ascii="Verdana" w:hAnsi="Verdana"/>
          <w:sz w:val="18"/>
          <w:szCs w:val="18"/>
          <w:lang w:val="en-US"/>
        </w:rPr>
        <w:t xml:space="preserve"> WHO, World Health Organization. Health of migrants: the way forward – report of a global consultation. </w:t>
      </w:r>
      <w:smartTag w:uri="urn:schemas-microsoft-com:office:smarttags" w:element="place">
        <w:smartTag w:uri="urn:schemas-microsoft-com:office:smarttags" w:element="City">
          <w:r w:rsidRPr="00F65D01">
            <w:rPr>
              <w:rFonts w:ascii="Verdana" w:hAnsi="Verdana"/>
              <w:sz w:val="18"/>
              <w:szCs w:val="18"/>
              <w:lang w:val="en-US"/>
            </w:rPr>
            <w:t>Madrid</w:t>
          </w:r>
        </w:smartTag>
        <w:r w:rsidRPr="00F65D01">
          <w:rPr>
            <w:rFonts w:ascii="Verdana" w:hAnsi="Verdana"/>
            <w:sz w:val="18"/>
            <w:szCs w:val="18"/>
            <w:lang w:val="en-US"/>
          </w:rPr>
          <w:t xml:space="preserve">, </w:t>
        </w:r>
        <w:smartTag w:uri="urn:schemas-microsoft-com:office:smarttags" w:element="country-region">
          <w:r w:rsidRPr="00F65D01">
            <w:rPr>
              <w:rFonts w:ascii="Verdana" w:hAnsi="Verdana"/>
              <w:sz w:val="18"/>
              <w:szCs w:val="18"/>
              <w:lang w:val="en-US"/>
            </w:rPr>
            <w:t>Spain</w:t>
          </w:r>
        </w:smartTag>
      </w:smartTag>
      <w:r w:rsidRPr="00F65D01">
        <w:rPr>
          <w:rFonts w:ascii="Verdana" w:hAnsi="Verdana"/>
          <w:sz w:val="18"/>
          <w:szCs w:val="18"/>
          <w:lang w:val="en-US"/>
        </w:rPr>
        <w:t>, 3-5 March 2010.</w:t>
      </w:r>
    </w:p>
    <w:p w:rsidR="00A14A49" w:rsidRDefault="00A14A49" w:rsidP="00F65D01">
      <w:pPr>
        <w:pStyle w:val="FootnoteText"/>
      </w:pPr>
      <w:hyperlink r:id="rId13" w:history="1">
        <w:r w:rsidRPr="00F65D01">
          <w:rPr>
            <w:rStyle w:val="Hyperlink"/>
            <w:rFonts w:ascii="Verdana" w:hAnsi="Verdana"/>
            <w:sz w:val="18"/>
            <w:szCs w:val="18"/>
            <w:lang w:val="en-US"/>
          </w:rPr>
          <w:t>http://www.who.int/hac/events/consultation_report_health_migrants_colour_web.pdf</w:t>
        </w:r>
      </w:hyperlink>
      <w:r w:rsidRPr="00F65D01">
        <w:rPr>
          <w:rFonts w:ascii="Verdana" w:hAnsi="Verdana"/>
          <w:sz w:val="18"/>
          <w:szCs w:val="18"/>
          <w:lang w:val="en-US"/>
        </w:rPr>
        <w:t xml:space="preserve"> (retrieved: March 5, 2015).</w:t>
      </w:r>
    </w:p>
  </w:footnote>
  <w:footnote w:id="17">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lang w:val="en-US"/>
        </w:rPr>
        <w:t xml:space="preserve"> Ingleby D. Ethnicity, Migration and the ‘Social Determinants of Health’ Agenda’. Psychosocial Intervention 2012;21(3):331-341.</w:t>
      </w:r>
    </w:p>
  </w:footnote>
  <w:footnote w:id="18">
    <w:p w:rsidR="00A14A49" w:rsidRPr="00F65D01" w:rsidRDefault="00A14A49" w:rsidP="00F65D01">
      <w:pPr>
        <w:pStyle w:val="FootnoteText"/>
        <w:rPr>
          <w:rFonts w:ascii="Verdana" w:hAnsi="Verdana"/>
          <w:sz w:val="18"/>
          <w:szCs w:val="18"/>
          <w:lang w:val="en-US"/>
        </w:rPr>
      </w:pPr>
      <w:r w:rsidRPr="00F65D01">
        <w:rPr>
          <w:rStyle w:val="FootnoteReference"/>
          <w:rFonts w:ascii="Verdana" w:hAnsi="Verdana"/>
          <w:sz w:val="18"/>
          <w:szCs w:val="18"/>
        </w:rPr>
        <w:footnoteRef/>
      </w:r>
      <w:r w:rsidRPr="00F65D01">
        <w:rPr>
          <w:rFonts w:ascii="Verdana" w:hAnsi="Verdana"/>
          <w:sz w:val="18"/>
          <w:szCs w:val="18"/>
          <w:lang w:val="en-US"/>
        </w:rPr>
        <w:t xml:space="preserve"> CommunityToolBox. Section 3. Our Model of Practice: Building Capacity for Community and System Change. </w:t>
      </w:r>
    </w:p>
    <w:p w:rsidR="00A14A49" w:rsidRDefault="00A14A49" w:rsidP="00F65D01">
      <w:pPr>
        <w:pStyle w:val="FootnoteText"/>
      </w:pPr>
      <w:hyperlink r:id="rId14" w:history="1">
        <w:r w:rsidRPr="00F65D01">
          <w:rPr>
            <w:rStyle w:val="Hyperlink"/>
            <w:rFonts w:ascii="Verdana" w:hAnsi="Verdana"/>
            <w:sz w:val="18"/>
            <w:szCs w:val="18"/>
            <w:lang w:val="en-GB"/>
          </w:rPr>
          <w:t>http://ctb.ku.edu/en/table-of-contents/overview/model-for-community-change-and-improvement</w:t>
        </w:r>
      </w:hyperlink>
      <w:r w:rsidRPr="00F65D01">
        <w:rPr>
          <w:rFonts w:ascii="Verdana" w:hAnsi="Verdana"/>
          <w:sz w:val="18"/>
          <w:szCs w:val="18"/>
          <w:lang w:val="en-GB"/>
        </w:rPr>
        <w:t xml:space="preserve"> (retrieved: March 5, 2015). </w:t>
      </w:r>
    </w:p>
  </w:footnote>
  <w:footnote w:id="19">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rPr>
        <w:t xml:space="preserve"> </w:t>
      </w:r>
      <w:r w:rsidRPr="00F65D01">
        <w:rPr>
          <w:rFonts w:ascii="Verdana" w:hAnsi="Verdana"/>
          <w:sz w:val="18"/>
          <w:szCs w:val="18"/>
          <w:lang w:val="es-ES_tradnl"/>
        </w:rPr>
        <w:t>Red Isir, Red Inmigración y Salud. Cuadernos audiovisuales para formación de profesionales en habilidades de comunicación con poblaciones inmigrantes. [DVD].</w:t>
      </w:r>
    </w:p>
  </w:footnote>
  <w:footnote w:id="20">
    <w:p w:rsidR="00A14A49" w:rsidRPr="00F65D01" w:rsidRDefault="00A14A49" w:rsidP="00F65D01">
      <w:pPr>
        <w:pStyle w:val="FootnoteText"/>
        <w:rPr>
          <w:rFonts w:ascii="Verdana" w:hAnsi="Verdana"/>
          <w:sz w:val="18"/>
          <w:szCs w:val="18"/>
        </w:rPr>
      </w:pPr>
      <w:r w:rsidRPr="00F65D01">
        <w:rPr>
          <w:rStyle w:val="FootnoteReference"/>
          <w:rFonts w:ascii="Verdana" w:hAnsi="Verdana"/>
          <w:sz w:val="18"/>
          <w:szCs w:val="18"/>
        </w:rPr>
        <w:footnoteRef/>
      </w:r>
      <w:r w:rsidRPr="00F65D01">
        <w:rPr>
          <w:rFonts w:ascii="Verdana" w:hAnsi="Verdana"/>
          <w:sz w:val="18"/>
          <w:szCs w:val="18"/>
        </w:rPr>
        <w:t xml:space="preserve"> CIMAS, Observatorio Internacional de Ciudadanía y Medio Ambiente Sostenible. Metodologías Participativas. Manual, 2009. </w:t>
      </w:r>
    </w:p>
    <w:p w:rsidR="00A14A49" w:rsidRDefault="00A14A49" w:rsidP="00F65D01">
      <w:pPr>
        <w:pStyle w:val="FootnoteText"/>
      </w:pPr>
      <w:hyperlink r:id="rId15" w:history="1">
        <w:r w:rsidRPr="00F65D01">
          <w:rPr>
            <w:rStyle w:val="Hyperlink"/>
            <w:rFonts w:ascii="Verdana" w:hAnsi="Verdana"/>
            <w:sz w:val="18"/>
            <w:szCs w:val="18"/>
          </w:rPr>
          <w:t>http://www.redcimas.org/wordpress/wp-content/uploads/2012/09/manual_2010.pdf</w:t>
        </w:r>
      </w:hyperlink>
      <w:r w:rsidRPr="00F65D01">
        <w:rPr>
          <w:rFonts w:ascii="Verdana" w:hAnsi="Verdana"/>
          <w:sz w:val="18"/>
          <w:szCs w:val="18"/>
        </w:rPr>
        <w:t xml:space="preserve"> (retrieved: March 5, 2015). </w:t>
      </w:r>
    </w:p>
  </w:footnote>
  <w:footnote w:id="21">
    <w:p w:rsidR="00A14A49" w:rsidRPr="00F65D01" w:rsidRDefault="00A14A49" w:rsidP="00F65D01">
      <w:pPr>
        <w:pStyle w:val="FootnoteText"/>
        <w:rPr>
          <w:rFonts w:ascii="Verdana" w:hAnsi="Verdana"/>
          <w:sz w:val="18"/>
          <w:szCs w:val="18"/>
        </w:rPr>
      </w:pPr>
      <w:r w:rsidRPr="00F65D01">
        <w:rPr>
          <w:rStyle w:val="FootnoteReference"/>
          <w:rFonts w:ascii="Verdana" w:hAnsi="Verdana"/>
          <w:sz w:val="18"/>
          <w:szCs w:val="18"/>
        </w:rPr>
        <w:footnoteRef/>
      </w:r>
      <w:r w:rsidRPr="00F65D01">
        <w:rPr>
          <w:rFonts w:ascii="Verdana" w:hAnsi="Verdana"/>
          <w:sz w:val="18"/>
          <w:szCs w:val="18"/>
        </w:rPr>
        <w:t xml:space="preserve"> Risler J, Ares P. Manual de mapeo colectivo: recursos cartográficos críticos para procesos territoriales de creación colaborativa. Buenos Aires: Tinta Limón, 2013.</w:t>
      </w:r>
    </w:p>
    <w:p w:rsidR="00A14A49" w:rsidRDefault="00A14A49" w:rsidP="00F65D01">
      <w:pPr>
        <w:pStyle w:val="FootnoteText"/>
      </w:pPr>
      <w:r w:rsidRPr="00F65D01">
        <w:rPr>
          <w:rFonts w:ascii="Verdana" w:hAnsi="Verdana"/>
          <w:sz w:val="18"/>
          <w:szCs w:val="18"/>
        </w:rPr>
        <w:t>(retrieved: March 5, 2015).</w:t>
      </w:r>
    </w:p>
  </w:footnote>
  <w:footnote w:id="22">
    <w:p w:rsidR="00A14A49" w:rsidRDefault="00A14A49" w:rsidP="00F65D01">
      <w:pPr>
        <w:pStyle w:val="FootnoteText"/>
      </w:pPr>
      <w:r w:rsidRPr="00F65D01">
        <w:rPr>
          <w:rStyle w:val="FootnoteReference"/>
          <w:rFonts w:ascii="Verdana" w:hAnsi="Verdana"/>
          <w:sz w:val="18"/>
          <w:szCs w:val="18"/>
        </w:rPr>
        <w:footnoteRef/>
      </w:r>
      <w:r w:rsidRPr="00F65D01">
        <w:rPr>
          <w:rFonts w:ascii="Verdana" w:hAnsi="Verdana"/>
          <w:sz w:val="18"/>
          <w:szCs w:val="18"/>
        </w:rPr>
        <w:t xml:space="preserve"> Based on CIMAS 2009, op. cit. and Risler, et al. 2013, et al., op cit.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49" w:rsidRDefault="00A14A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Encabezado" style="width:420pt;height:48pt;visibility:visible">
          <v:imagedata r:id="rId1" o:title=""/>
        </v:shape>
      </w:pict>
    </w:r>
  </w:p>
  <w:p w:rsidR="00A14A49" w:rsidRDefault="00A14A49">
    <w:pPr>
      <w:pStyle w:val="Header"/>
    </w:pPr>
  </w:p>
  <w:p w:rsidR="00A14A49" w:rsidRDefault="00A14A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49" w:rsidRPr="00B761E6" w:rsidRDefault="00A14A49" w:rsidP="00B761E6">
    <w:pPr>
      <w:pBdr>
        <w:bottom w:val="single" w:sz="4" w:space="1" w:color="auto"/>
      </w:pBdr>
      <w:jc w:val="right"/>
      <w:rPr>
        <w:rStyle w:val="CarCar4"/>
        <w:rFonts w:ascii="Verdana" w:hAnsi="Verdana"/>
        <w:sz w:val="18"/>
        <w:szCs w:val="22"/>
      </w:rPr>
    </w:pPr>
    <w:r w:rsidRPr="00B761E6">
      <w:rPr>
        <w:rStyle w:val="CarCar4"/>
        <w:rFonts w:ascii="Verdana" w:hAnsi="Verdana"/>
        <w:szCs w:val="22"/>
      </w:rPr>
      <w:tab/>
    </w:r>
    <w:r w:rsidRPr="00B761E6">
      <w:rPr>
        <w:rStyle w:val="CarCar4"/>
        <w:rFonts w:ascii="Verdana" w:hAnsi="Verdana"/>
        <w:szCs w:val="22"/>
      </w:rPr>
      <w:tab/>
    </w:r>
    <w:r w:rsidRPr="00B761E6">
      <w:rPr>
        <w:rStyle w:val="CarCar4"/>
        <w:rFonts w:ascii="Verdana" w:hAnsi="Verdana"/>
        <w:sz w:val="16"/>
        <w:szCs w:val="16"/>
      </w:rPr>
      <w:tab/>
    </w:r>
    <w:r w:rsidRPr="00B761E6">
      <w:rPr>
        <w:rStyle w:val="CarCar4"/>
        <w:rFonts w:ascii="Verdana" w:hAnsi="Verdana"/>
        <w:sz w:val="18"/>
        <w:szCs w:val="22"/>
      </w:rPr>
      <w:t>MEM-TP</w:t>
    </w:r>
  </w:p>
  <w:p w:rsidR="00A14A49" w:rsidRPr="00B761E6" w:rsidRDefault="00A14A49" w:rsidP="00B761E6">
    <w:pPr>
      <w:jc w:val="right"/>
      <w:rPr>
        <w:rFonts w:ascii="Verdana" w:hAnsi="Verdana"/>
        <w:lang w:val="en-GB"/>
      </w:rPr>
    </w:pPr>
    <w:r w:rsidRPr="00B761E6">
      <w:rPr>
        <w:rStyle w:val="CarCar4"/>
        <w:rFonts w:ascii="Verdana" w:hAnsi="Verdana"/>
        <w:szCs w:val="22"/>
      </w:rPr>
      <w:tab/>
    </w:r>
    <w:r w:rsidRPr="00B761E6">
      <w:rPr>
        <w:rStyle w:val="CarCar4"/>
        <w:rFonts w:ascii="Verdana" w:hAnsi="Verdana"/>
        <w:szCs w:val="22"/>
      </w:rPr>
      <w:tab/>
    </w:r>
    <w:r w:rsidRPr="00B761E6">
      <w:rPr>
        <w:rStyle w:val="CarCar4"/>
        <w:rFonts w:ascii="Verdana" w:hAnsi="Verdana"/>
        <w:sz w:val="16"/>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49" w:rsidRDefault="00A14A49" w:rsidP="00E360E7">
    <w:pPr>
      <w:pStyle w:val="Header"/>
    </w:pPr>
  </w:p>
  <w:p w:rsidR="00A14A49" w:rsidRDefault="00A14A49" w:rsidP="00E360E7">
    <w:pPr>
      <w:pStyle w:val="Header"/>
    </w:pPr>
  </w:p>
  <w:p w:rsidR="00A14A49" w:rsidRDefault="00A14A49" w:rsidP="00E360E7">
    <w:pPr>
      <w:pStyle w:val="Header"/>
    </w:pPr>
  </w:p>
  <w:p w:rsidR="00A14A49" w:rsidRPr="00E360E7" w:rsidRDefault="00A14A49" w:rsidP="00E360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9CD"/>
    <w:multiLevelType w:val="hybridMultilevel"/>
    <w:tmpl w:val="B43AC176"/>
    <w:lvl w:ilvl="0" w:tplc="5694CB3E">
      <w:start w:val="1"/>
      <w:numFmt w:val="bullet"/>
      <w:lvlText w:val="•"/>
      <w:lvlJc w:val="left"/>
      <w:pPr>
        <w:tabs>
          <w:tab w:val="num" w:pos="720"/>
        </w:tabs>
        <w:ind w:left="720" w:hanging="360"/>
      </w:pPr>
      <w:rPr>
        <w:rFonts w:ascii="Arial" w:hAnsi="Arial" w:hint="default"/>
      </w:rPr>
    </w:lvl>
    <w:lvl w:ilvl="1" w:tplc="AB3CAEA4">
      <w:numFmt w:val="none"/>
      <w:lvlText w:val=""/>
      <w:lvlJc w:val="left"/>
      <w:pPr>
        <w:tabs>
          <w:tab w:val="num" w:pos="360"/>
        </w:tabs>
      </w:pPr>
      <w:rPr>
        <w:rFonts w:cs="Times New Roman"/>
      </w:rPr>
    </w:lvl>
    <w:lvl w:ilvl="2" w:tplc="34947C66" w:tentative="1">
      <w:start w:val="1"/>
      <w:numFmt w:val="bullet"/>
      <w:lvlText w:val="•"/>
      <w:lvlJc w:val="left"/>
      <w:pPr>
        <w:tabs>
          <w:tab w:val="num" w:pos="2160"/>
        </w:tabs>
        <w:ind w:left="2160" w:hanging="360"/>
      </w:pPr>
      <w:rPr>
        <w:rFonts w:ascii="Arial" w:hAnsi="Arial" w:hint="default"/>
      </w:rPr>
    </w:lvl>
    <w:lvl w:ilvl="3" w:tplc="FBACBA98" w:tentative="1">
      <w:start w:val="1"/>
      <w:numFmt w:val="bullet"/>
      <w:lvlText w:val="•"/>
      <w:lvlJc w:val="left"/>
      <w:pPr>
        <w:tabs>
          <w:tab w:val="num" w:pos="2880"/>
        </w:tabs>
        <w:ind w:left="2880" w:hanging="360"/>
      </w:pPr>
      <w:rPr>
        <w:rFonts w:ascii="Arial" w:hAnsi="Arial" w:hint="default"/>
      </w:rPr>
    </w:lvl>
    <w:lvl w:ilvl="4" w:tplc="E4900FB0" w:tentative="1">
      <w:start w:val="1"/>
      <w:numFmt w:val="bullet"/>
      <w:lvlText w:val="•"/>
      <w:lvlJc w:val="left"/>
      <w:pPr>
        <w:tabs>
          <w:tab w:val="num" w:pos="3600"/>
        </w:tabs>
        <w:ind w:left="3600" w:hanging="360"/>
      </w:pPr>
      <w:rPr>
        <w:rFonts w:ascii="Arial" w:hAnsi="Arial" w:hint="default"/>
      </w:rPr>
    </w:lvl>
    <w:lvl w:ilvl="5" w:tplc="4106F492" w:tentative="1">
      <w:start w:val="1"/>
      <w:numFmt w:val="bullet"/>
      <w:lvlText w:val="•"/>
      <w:lvlJc w:val="left"/>
      <w:pPr>
        <w:tabs>
          <w:tab w:val="num" w:pos="4320"/>
        </w:tabs>
        <w:ind w:left="4320" w:hanging="360"/>
      </w:pPr>
      <w:rPr>
        <w:rFonts w:ascii="Arial" w:hAnsi="Arial" w:hint="default"/>
      </w:rPr>
    </w:lvl>
    <w:lvl w:ilvl="6" w:tplc="1E9CC37C" w:tentative="1">
      <w:start w:val="1"/>
      <w:numFmt w:val="bullet"/>
      <w:lvlText w:val="•"/>
      <w:lvlJc w:val="left"/>
      <w:pPr>
        <w:tabs>
          <w:tab w:val="num" w:pos="5040"/>
        </w:tabs>
        <w:ind w:left="5040" w:hanging="360"/>
      </w:pPr>
      <w:rPr>
        <w:rFonts w:ascii="Arial" w:hAnsi="Arial" w:hint="default"/>
      </w:rPr>
    </w:lvl>
    <w:lvl w:ilvl="7" w:tplc="E730DEA0" w:tentative="1">
      <w:start w:val="1"/>
      <w:numFmt w:val="bullet"/>
      <w:lvlText w:val="•"/>
      <w:lvlJc w:val="left"/>
      <w:pPr>
        <w:tabs>
          <w:tab w:val="num" w:pos="5760"/>
        </w:tabs>
        <w:ind w:left="5760" w:hanging="360"/>
      </w:pPr>
      <w:rPr>
        <w:rFonts w:ascii="Arial" w:hAnsi="Arial" w:hint="default"/>
      </w:rPr>
    </w:lvl>
    <w:lvl w:ilvl="8" w:tplc="3380471C" w:tentative="1">
      <w:start w:val="1"/>
      <w:numFmt w:val="bullet"/>
      <w:lvlText w:val="•"/>
      <w:lvlJc w:val="left"/>
      <w:pPr>
        <w:tabs>
          <w:tab w:val="num" w:pos="6480"/>
        </w:tabs>
        <w:ind w:left="6480" w:hanging="360"/>
      </w:pPr>
      <w:rPr>
        <w:rFonts w:ascii="Arial" w:hAnsi="Arial" w:hint="default"/>
      </w:rPr>
    </w:lvl>
  </w:abstractNum>
  <w:abstractNum w:abstractNumId="1">
    <w:nsid w:val="021C0955"/>
    <w:multiLevelType w:val="hybridMultilevel"/>
    <w:tmpl w:val="6680A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4156B7"/>
    <w:multiLevelType w:val="hybridMultilevel"/>
    <w:tmpl w:val="76B0BDEC"/>
    <w:lvl w:ilvl="0" w:tplc="E35E4E0A">
      <w:start w:val="1"/>
      <w:numFmt w:val="bullet"/>
      <w:lvlText w:val=""/>
      <w:lvlJc w:val="left"/>
      <w:pPr>
        <w:tabs>
          <w:tab w:val="num" w:pos="792"/>
        </w:tabs>
        <w:ind w:left="792"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3268AF"/>
    <w:multiLevelType w:val="hybridMultilevel"/>
    <w:tmpl w:val="B046FA9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51148A"/>
    <w:multiLevelType w:val="hybridMultilevel"/>
    <w:tmpl w:val="399452D4"/>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0170086"/>
    <w:multiLevelType w:val="multilevel"/>
    <w:tmpl w:val="C254A8FC"/>
    <w:lvl w:ilvl="0">
      <w:start w:val="1"/>
      <w:numFmt w:val="decimal"/>
      <w:lvlText w:val="%1."/>
      <w:lvlJc w:val="left"/>
      <w:pPr>
        <w:ind w:left="360"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165"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15" w:hanging="180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6">
    <w:nsid w:val="1B0A7F6F"/>
    <w:multiLevelType w:val="hybridMultilevel"/>
    <w:tmpl w:val="50BCC18E"/>
    <w:lvl w:ilvl="0" w:tplc="B95EE6A6">
      <w:start w:val="1"/>
      <w:numFmt w:val="bullet"/>
      <w:lvlText w:val="•"/>
      <w:lvlJc w:val="left"/>
      <w:pPr>
        <w:tabs>
          <w:tab w:val="num" w:pos="720"/>
        </w:tabs>
        <w:ind w:left="720" w:hanging="360"/>
      </w:pPr>
      <w:rPr>
        <w:rFonts w:ascii="Arial" w:hAnsi="Arial" w:hint="default"/>
      </w:rPr>
    </w:lvl>
    <w:lvl w:ilvl="1" w:tplc="BDC02886">
      <w:start w:val="1"/>
      <w:numFmt w:val="bullet"/>
      <w:lvlText w:val="o"/>
      <w:lvlJc w:val="left"/>
      <w:pPr>
        <w:ind w:left="1440" w:hanging="360"/>
      </w:pPr>
      <w:rPr>
        <w:rFonts w:ascii="Courier New" w:hAnsi="Courier New" w:hint="default"/>
        <w:color w:val="auto"/>
      </w:rPr>
    </w:lvl>
    <w:lvl w:ilvl="2" w:tplc="69624D2E" w:tentative="1">
      <w:start w:val="1"/>
      <w:numFmt w:val="bullet"/>
      <w:lvlText w:val="•"/>
      <w:lvlJc w:val="left"/>
      <w:pPr>
        <w:tabs>
          <w:tab w:val="num" w:pos="2160"/>
        </w:tabs>
        <w:ind w:left="2160" w:hanging="360"/>
      </w:pPr>
      <w:rPr>
        <w:rFonts w:ascii="Arial" w:hAnsi="Arial" w:hint="default"/>
      </w:rPr>
    </w:lvl>
    <w:lvl w:ilvl="3" w:tplc="6BCCFE9E" w:tentative="1">
      <w:start w:val="1"/>
      <w:numFmt w:val="bullet"/>
      <w:lvlText w:val="•"/>
      <w:lvlJc w:val="left"/>
      <w:pPr>
        <w:tabs>
          <w:tab w:val="num" w:pos="2880"/>
        </w:tabs>
        <w:ind w:left="2880" w:hanging="360"/>
      </w:pPr>
      <w:rPr>
        <w:rFonts w:ascii="Arial" w:hAnsi="Arial" w:hint="default"/>
      </w:rPr>
    </w:lvl>
    <w:lvl w:ilvl="4" w:tplc="7ED40E6C" w:tentative="1">
      <w:start w:val="1"/>
      <w:numFmt w:val="bullet"/>
      <w:lvlText w:val="•"/>
      <w:lvlJc w:val="left"/>
      <w:pPr>
        <w:tabs>
          <w:tab w:val="num" w:pos="3600"/>
        </w:tabs>
        <w:ind w:left="3600" w:hanging="360"/>
      </w:pPr>
      <w:rPr>
        <w:rFonts w:ascii="Arial" w:hAnsi="Arial" w:hint="default"/>
      </w:rPr>
    </w:lvl>
    <w:lvl w:ilvl="5" w:tplc="C2860138" w:tentative="1">
      <w:start w:val="1"/>
      <w:numFmt w:val="bullet"/>
      <w:lvlText w:val="•"/>
      <w:lvlJc w:val="left"/>
      <w:pPr>
        <w:tabs>
          <w:tab w:val="num" w:pos="4320"/>
        </w:tabs>
        <w:ind w:left="4320" w:hanging="360"/>
      </w:pPr>
      <w:rPr>
        <w:rFonts w:ascii="Arial" w:hAnsi="Arial" w:hint="default"/>
      </w:rPr>
    </w:lvl>
    <w:lvl w:ilvl="6" w:tplc="FFCCD4B4" w:tentative="1">
      <w:start w:val="1"/>
      <w:numFmt w:val="bullet"/>
      <w:lvlText w:val="•"/>
      <w:lvlJc w:val="left"/>
      <w:pPr>
        <w:tabs>
          <w:tab w:val="num" w:pos="5040"/>
        </w:tabs>
        <w:ind w:left="5040" w:hanging="360"/>
      </w:pPr>
      <w:rPr>
        <w:rFonts w:ascii="Arial" w:hAnsi="Arial" w:hint="default"/>
      </w:rPr>
    </w:lvl>
    <w:lvl w:ilvl="7" w:tplc="822E9022" w:tentative="1">
      <w:start w:val="1"/>
      <w:numFmt w:val="bullet"/>
      <w:lvlText w:val="•"/>
      <w:lvlJc w:val="left"/>
      <w:pPr>
        <w:tabs>
          <w:tab w:val="num" w:pos="5760"/>
        </w:tabs>
        <w:ind w:left="5760" w:hanging="360"/>
      </w:pPr>
      <w:rPr>
        <w:rFonts w:ascii="Arial" w:hAnsi="Arial" w:hint="default"/>
      </w:rPr>
    </w:lvl>
    <w:lvl w:ilvl="8" w:tplc="02748C3A" w:tentative="1">
      <w:start w:val="1"/>
      <w:numFmt w:val="bullet"/>
      <w:lvlText w:val="•"/>
      <w:lvlJc w:val="left"/>
      <w:pPr>
        <w:tabs>
          <w:tab w:val="num" w:pos="6480"/>
        </w:tabs>
        <w:ind w:left="6480" w:hanging="360"/>
      </w:pPr>
      <w:rPr>
        <w:rFonts w:ascii="Arial" w:hAnsi="Arial" w:hint="default"/>
      </w:rPr>
    </w:lvl>
  </w:abstractNum>
  <w:abstractNum w:abstractNumId="7">
    <w:nsid w:val="3433445D"/>
    <w:multiLevelType w:val="multilevel"/>
    <w:tmpl w:val="E180AEA2"/>
    <w:lvl w:ilvl="0">
      <w:start w:val="1"/>
      <w:numFmt w:val="decimal"/>
      <w:lvlText w:val="%1."/>
      <w:lvlJc w:val="left"/>
      <w:pPr>
        <w:ind w:left="360" w:hanging="360"/>
      </w:pPr>
      <w:rPr>
        <w:rFonts w:cs="Times New Roman" w:hint="default"/>
        <w:sz w:val="24"/>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8">
    <w:nsid w:val="48B92648"/>
    <w:multiLevelType w:val="hybridMultilevel"/>
    <w:tmpl w:val="4D20452A"/>
    <w:lvl w:ilvl="0" w:tplc="D144A388">
      <w:start w:val="1"/>
      <w:numFmt w:val="bullet"/>
      <w:lvlText w:val="•"/>
      <w:lvlJc w:val="left"/>
      <w:pPr>
        <w:tabs>
          <w:tab w:val="num" w:pos="720"/>
        </w:tabs>
        <w:ind w:left="720" w:hanging="360"/>
      </w:pPr>
      <w:rPr>
        <w:rFonts w:ascii="Arial" w:hAnsi="Arial" w:hint="default"/>
      </w:rPr>
    </w:lvl>
    <w:lvl w:ilvl="1" w:tplc="36769F22">
      <w:numFmt w:val="none"/>
      <w:lvlText w:val=""/>
      <w:lvlJc w:val="left"/>
      <w:pPr>
        <w:tabs>
          <w:tab w:val="num" w:pos="360"/>
        </w:tabs>
      </w:pPr>
      <w:rPr>
        <w:rFonts w:cs="Times New Roman"/>
      </w:rPr>
    </w:lvl>
    <w:lvl w:ilvl="2" w:tplc="55643984" w:tentative="1">
      <w:start w:val="1"/>
      <w:numFmt w:val="bullet"/>
      <w:lvlText w:val="•"/>
      <w:lvlJc w:val="left"/>
      <w:pPr>
        <w:tabs>
          <w:tab w:val="num" w:pos="2160"/>
        </w:tabs>
        <w:ind w:left="2160" w:hanging="360"/>
      </w:pPr>
      <w:rPr>
        <w:rFonts w:ascii="Arial" w:hAnsi="Arial" w:hint="default"/>
      </w:rPr>
    </w:lvl>
    <w:lvl w:ilvl="3" w:tplc="C64AA0DA" w:tentative="1">
      <w:start w:val="1"/>
      <w:numFmt w:val="bullet"/>
      <w:lvlText w:val="•"/>
      <w:lvlJc w:val="left"/>
      <w:pPr>
        <w:tabs>
          <w:tab w:val="num" w:pos="2880"/>
        </w:tabs>
        <w:ind w:left="2880" w:hanging="360"/>
      </w:pPr>
      <w:rPr>
        <w:rFonts w:ascii="Arial" w:hAnsi="Arial" w:hint="default"/>
      </w:rPr>
    </w:lvl>
    <w:lvl w:ilvl="4" w:tplc="6E4A923C" w:tentative="1">
      <w:start w:val="1"/>
      <w:numFmt w:val="bullet"/>
      <w:lvlText w:val="•"/>
      <w:lvlJc w:val="left"/>
      <w:pPr>
        <w:tabs>
          <w:tab w:val="num" w:pos="3600"/>
        </w:tabs>
        <w:ind w:left="3600" w:hanging="360"/>
      </w:pPr>
      <w:rPr>
        <w:rFonts w:ascii="Arial" w:hAnsi="Arial" w:hint="default"/>
      </w:rPr>
    </w:lvl>
    <w:lvl w:ilvl="5" w:tplc="75163C9E" w:tentative="1">
      <w:start w:val="1"/>
      <w:numFmt w:val="bullet"/>
      <w:lvlText w:val="•"/>
      <w:lvlJc w:val="left"/>
      <w:pPr>
        <w:tabs>
          <w:tab w:val="num" w:pos="4320"/>
        </w:tabs>
        <w:ind w:left="4320" w:hanging="360"/>
      </w:pPr>
      <w:rPr>
        <w:rFonts w:ascii="Arial" w:hAnsi="Arial" w:hint="default"/>
      </w:rPr>
    </w:lvl>
    <w:lvl w:ilvl="6" w:tplc="F39C39FE" w:tentative="1">
      <w:start w:val="1"/>
      <w:numFmt w:val="bullet"/>
      <w:lvlText w:val="•"/>
      <w:lvlJc w:val="left"/>
      <w:pPr>
        <w:tabs>
          <w:tab w:val="num" w:pos="5040"/>
        </w:tabs>
        <w:ind w:left="5040" w:hanging="360"/>
      </w:pPr>
      <w:rPr>
        <w:rFonts w:ascii="Arial" w:hAnsi="Arial" w:hint="default"/>
      </w:rPr>
    </w:lvl>
    <w:lvl w:ilvl="7" w:tplc="4CC8F1B6" w:tentative="1">
      <w:start w:val="1"/>
      <w:numFmt w:val="bullet"/>
      <w:lvlText w:val="•"/>
      <w:lvlJc w:val="left"/>
      <w:pPr>
        <w:tabs>
          <w:tab w:val="num" w:pos="5760"/>
        </w:tabs>
        <w:ind w:left="5760" w:hanging="360"/>
      </w:pPr>
      <w:rPr>
        <w:rFonts w:ascii="Arial" w:hAnsi="Arial" w:hint="default"/>
      </w:rPr>
    </w:lvl>
    <w:lvl w:ilvl="8" w:tplc="71F64C1E" w:tentative="1">
      <w:start w:val="1"/>
      <w:numFmt w:val="bullet"/>
      <w:lvlText w:val="•"/>
      <w:lvlJc w:val="left"/>
      <w:pPr>
        <w:tabs>
          <w:tab w:val="num" w:pos="6480"/>
        </w:tabs>
        <w:ind w:left="6480" w:hanging="360"/>
      </w:pPr>
      <w:rPr>
        <w:rFonts w:ascii="Arial" w:hAnsi="Arial" w:hint="default"/>
      </w:rPr>
    </w:lvl>
  </w:abstractNum>
  <w:abstractNum w:abstractNumId="9">
    <w:nsid w:val="50A75B39"/>
    <w:multiLevelType w:val="multilevel"/>
    <w:tmpl w:val="B046FA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7C67004"/>
    <w:multiLevelType w:val="hybridMultilevel"/>
    <w:tmpl w:val="11BC9E5E"/>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7B6D5B31"/>
    <w:multiLevelType w:val="hybridMultilevel"/>
    <w:tmpl w:val="74544F34"/>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0"/>
  </w:num>
  <w:num w:numId="4">
    <w:abstractNumId w:val="2"/>
  </w:num>
  <w:num w:numId="5">
    <w:abstractNumId w:val="8"/>
  </w:num>
  <w:num w:numId="6">
    <w:abstractNumId w:val="6"/>
  </w:num>
  <w:num w:numId="7">
    <w:abstractNumId w:val="5"/>
  </w:num>
  <w:num w:numId="8">
    <w:abstractNumId w:val="1"/>
  </w:num>
  <w:num w:numId="9">
    <w:abstractNumId w:val="3"/>
  </w:num>
  <w:num w:numId="10">
    <w:abstractNumId w:val="9"/>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A51"/>
    <w:rsid w:val="00011080"/>
    <w:rsid w:val="0001742A"/>
    <w:rsid w:val="000672EB"/>
    <w:rsid w:val="000B0DC0"/>
    <w:rsid w:val="00134578"/>
    <w:rsid w:val="00174564"/>
    <w:rsid w:val="00182391"/>
    <w:rsid w:val="001F1EB7"/>
    <w:rsid w:val="00211133"/>
    <w:rsid w:val="002256F1"/>
    <w:rsid w:val="00233395"/>
    <w:rsid w:val="00332EF8"/>
    <w:rsid w:val="00337C83"/>
    <w:rsid w:val="00342908"/>
    <w:rsid w:val="00366395"/>
    <w:rsid w:val="00373CC4"/>
    <w:rsid w:val="0038483C"/>
    <w:rsid w:val="003B1A07"/>
    <w:rsid w:val="003B379D"/>
    <w:rsid w:val="00412BF3"/>
    <w:rsid w:val="004309D0"/>
    <w:rsid w:val="00445079"/>
    <w:rsid w:val="0046277A"/>
    <w:rsid w:val="00462F6E"/>
    <w:rsid w:val="0050112D"/>
    <w:rsid w:val="00506AE5"/>
    <w:rsid w:val="005125EB"/>
    <w:rsid w:val="00516EAF"/>
    <w:rsid w:val="0052167A"/>
    <w:rsid w:val="00524AA0"/>
    <w:rsid w:val="00527ABB"/>
    <w:rsid w:val="00546326"/>
    <w:rsid w:val="00564C9C"/>
    <w:rsid w:val="005D2625"/>
    <w:rsid w:val="005E28C5"/>
    <w:rsid w:val="00602610"/>
    <w:rsid w:val="00627DA3"/>
    <w:rsid w:val="00656D90"/>
    <w:rsid w:val="00681FC9"/>
    <w:rsid w:val="006A23BD"/>
    <w:rsid w:val="006B619D"/>
    <w:rsid w:val="006C69A1"/>
    <w:rsid w:val="006D62A5"/>
    <w:rsid w:val="00776C73"/>
    <w:rsid w:val="007916F9"/>
    <w:rsid w:val="007A1E1B"/>
    <w:rsid w:val="007B1769"/>
    <w:rsid w:val="007C027A"/>
    <w:rsid w:val="008C236D"/>
    <w:rsid w:val="008C36C8"/>
    <w:rsid w:val="008C7872"/>
    <w:rsid w:val="008D3D4A"/>
    <w:rsid w:val="00927B27"/>
    <w:rsid w:val="00952DD8"/>
    <w:rsid w:val="00982BA8"/>
    <w:rsid w:val="00A14A49"/>
    <w:rsid w:val="00A76F2C"/>
    <w:rsid w:val="00A8509C"/>
    <w:rsid w:val="00A90CB8"/>
    <w:rsid w:val="00AD4F0A"/>
    <w:rsid w:val="00B02162"/>
    <w:rsid w:val="00B47023"/>
    <w:rsid w:val="00B761E6"/>
    <w:rsid w:val="00B775F1"/>
    <w:rsid w:val="00B95199"/>
    <w:rsid w:val="00BD0C3F"/>
    <w:rsid w:val="00BF4CA2"/>
    <w:rsid w:val="00C4239B"/>
    <w:rsid w:val="00C543B1"/>
    <w:rsid w:val="00CE56D6"/>
    <w:rsid w:val="00CF2485"/>
    <w:rsid w:val="00D0479F"/>
    <w:rsid w:val="00D17A03"/>
    <w:rsid w:val="00D21A1E"/>
    <w:rsid w:val="00D22B78"/>
    <w:rsid w:val="00D25298"/>
    <w:rsid w:val="00D34977"/>
    <w:rsid w:val="00D351B9"/>
    <w:rsid w:val="00D56390"/>
    <w:rsid w:val="00D725D6"/>
    <w:rsid w:val="00D77A51"/>
    <w:rsid w:val="00D902BC"/>
    <w:rsid w:val="00D9046F"/>
    <w:rsid w:val="00DA17E6"/>
    <w:rsid w:val="00DA7EC2"/>
    <w:rsid w:val="00DC7141"/>
    <w:rsid w:val="00DD1E44"/>
    <w:rsid w:val="00DF59E8"/>
    <w:rsid w:val="00E26AFA"/>
    <w:rsid w:val="00E360E7"/>
    <w:rsid w:val="00E46AC0"/>
    <w:rsid w:val="00EB201D"/>
    <w:rsid w:val="00F40D8F"/>
    <w:rsid w:val="00F65D01"/>
    <w:rsid w:val="00F755A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51"/>
    <w:rPr>
      <w:rFonts w:eastAsia="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7A51"/>
    <w:pPr>
      <w:tabs>
        <w:tab w:val="center" w:pos="4252"/>
        <w:tab w:val="right" w:pos="8504"/>
      </w:tabs>
    </w:pPr>
  </w:style>
  <w:style w:type="character" w:customStyle="1" w:styleId="HeaderChar">
    <w:name w:val="Header Char"/>
    <w:basedOn w:val="DefaultParagraphFont"/>
    <w:link w:val="Header"/>
    <w:uiPriority w:val="99"/>
    <w:locked/>
    <w:rsid w:val="00D77A51"/>
    <w:rPr>
      <w:rFonts w:ascii="Calibri" w:hAnsi="Calibri" w:cs="Times New Roman"/>
      <w:sz w:val="24"/>
      <w:szCs w:val="24"/>
      <w:lang w:eastAsia="es-ES"/>
    </w:rPr>
  </w:style>
  <w:style w:type="paragraph" w:styleId="Footer">
    <w:name w:val="footer"/>
    <w:basedOn w:val="Normal"/>
    <w:link w:val="FooterChar"/>
    <w:uiPriority w:val="99"/>
    <w:rsid w:val="00D77A51"/>
    <w:pPr>
      <w:tabs>
        <w:tab w:val="center" w:pos="4252"/>
        <w:tab w:val="right" w:pos="8504"/>
      </w:tabs>
    </w:pPr>
  </w:style>
  <w:style w:type="character" w:customStyle="1" w:styleId="FooterChar">
    <w:name w:val="Footer Char"/>
    <w:basedOn w:val="DefaultParagraphFont"/>
    <w:link w:val="Footer"/>
    <w:uiPriority w:val="99"/>
    <w:locked/>
    <w:rsid w:val="00D77A51"/>
    <w:rPr>
      <w:rFonts w:ascii="Calibri" w:hAnsi="Calibri" w:cs="Times New Roman"/>
      <w:sz w:val="24"/>
      <w:szCs w:val="24"/>
      <w:lang w:eastAsia="es-ES"/>
    </w:rPr>
  </w:style>
  <w:style w:type="character" w:styleId="PageNumber">
    <w:name w:val="page number"/>
    <w:basedOn w:val="DefaultParagraphFont"/>
    <w:uiPriority w:val="99"/>
    <w:rsid w:val="00D77A51"/>
    <w:rPr>
      <w:rFonts w:cs="Times New Roman"/>
    </w:rPr>
  </w:style>
  <w:style w:type="character" w:styleId="Hyperlink">
    <w:name w:val="Hyperlink"/>
    <w:basedOn w:val="DefaultParagraphFont"/>
    <w:uiPriority w:val="99"/>
    <w:rsid w:val="00D77A51"/>
    <w:rPr>
      <w:rFonts w:cs="Times New Roman"/>
      <w:color w:val="0000FF"/>
      <w:u w:val="single"/>
    </w:rPr>
  </w:style>
  <w:style w:type="paragraph" w:styleId="FootnoteText">
    <w:name w:val="footnote text"/>
    <w:basedOn w:val="Normal"/>
    <w:link w:val="FootnoteTextChar"/>
    <w:uiPriority w:val="99"/>
    <w:rsid w:val="00D77A51"/>
    <w:rPr>
      <w:sz w:val="20"/>
      <w:szCs w:val="20"/>
    </w:rPr>
  </w:style>
  <w:style w:type="character" w:customStyle="1" w:styleId="FootnoteTextChar">
    <w:name w:val="Footnote Text Char"/>
    <w:basedOn w:val="DefaultParagraphFont"/>
    <w:link w:val="FootnoteText"/>
    <w:uiPriority w:val="99"/>
    <w:locked/>
    <w:rsid w:val="00D77A51"/>
    <w:rPr>
      <w:rFonts w:ascii="Calibri" w:hAnsi="Calibri" w:cs="Times New Roman"/>
      <w:sz w:val="20"/>
      <w:szCs w:val="20"/>
      <w:lang w:eastAsia="es-ES"/>
    </w:rPr>
  </w:style>
  <w:style w:type="character" w:styleId="FootnoteReference">
    <w:name w:val="footnote reference"/>
    <w:basedOn w:val="DefaultParagraphFont"/>
    <w:uiPriority w:val="99"/>
    <w:rsid w:val="00D77A51"/>
    <w:rPr>
      <w:rFonts w:cs="Times New Roman"/>
      <w:vertAlign w:val="superscript"/>
    </w:rPr>
  </w:style>
  <w:style w:type="paragraph" w:styleId="BalloonText">
    <w:name w:val="Balloon Text"/>
    <w:basedOn w:val="Normal"/>
    <w:link w:val="BalloonTextChar"/>
    <w:uiPriority w:val="99"/>
    <w:semiHidden/>
    <w:rsid w:val="003429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42908"/>
    <w:rPr>
      <w:rFonts w:ascii="Lucida Grande" w:hAnsi="Lucida Grande" w:cs="Lucida Grande"/>
      <w:sz w:val="18"/>
      <w:szCs w:val="18"/>
      <w:lang w:eastAsia="es-ES"/>
    </w:rPr>
  </w:style>
  <w:style w:type="paragraph" w:styleId="ListParagraph">
    <w:name w:val="List Paragraph"/>
    <w:basedOn w:val="Normal"/>
    <w:uiPriority w:val="99"/>
    <w:qFormat/>
    <w:rsid w:val="00342908"/>
    <w:pPr>
      <w:ind w:left="720"/>
      <w:contextualSpacing/>
    </w:pPr>
  </w:style>
  <w:style w:type="character" w:customStyle="1" w:styleId="CarCar4">
    <w:name w:val="Car Car4"/>
    <w:uiPriority w:val="99"/>
    <w:rsid w:val="00B761E6"/>
    <w:rPr>
      <w:sz w:val="22"/>
      <w:lang w:val="en-US" w:eastAsia="en-US"/>
    </w:rPr>
  </w:style>
  <w:style w:type="character" w:customStyle="1" w:styleId="CarCar3">
    <w:name w:val="Car Car3"/>
    <w:uiPriority w:val="99"/>
    <w:rsid w:val="00B761E6"/>
    <w:rPr>
      <w:sz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dcimas.org/wordpress/wp-content/uploads/2012/09/manual_2010.pdf" TargetMode="External"/><Relationship Id="rId18" Type="http://schemas.openxmlformats.org/officeDocument/2006/relationships/hyperlink" Target="http://www.action-for-health.eu/sites/default/files/files/Situation%20Analysis%20and%20Needs%20Assessment%20in%20Seven%20EU-Countries%20and%20Regions.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who.int/sdhconference/resources/ConceptualframeworkforactiononSDH_eng.pdf" TargetMode="External"/><Relationship Id="rId7" Type="http://schemas.openxmlformats.org/officeDocument/2006/relationships/image" Target="media/image1.png"/><Relationship Id="rId12" Type="http://schemas.openxmlformats.org/officeDocument/2006/relationships/hyperlink" Target="http://www.who.int/social_determinants/resources/health_equity_isa_2008_en.pdf?ua=1" TargetMode="External"/><Relationship Id="rId17" Type="http://schemas.openxmlformats.org/officeDocument/2006/relationships/hyperlink" Target="https://www.msssi.gob.es/profesionales/saludPublica/prevPromocion/promocion/desigualdadSalud/PresidenciaUE_2010/conferenciaExpertos/docs/haciaLaEquidadEnSalud_en.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uro.who.int/__data/assets/pdf_file/0005/171707/Intersectoral-governance-for-health-in-all-policies.pdf" TargetMode="External"/><Relationship Id="rId20" Type="http://schemas.openxmlformats.org/officeDocument/2006/relationships/hyperlink" Target="http://apps.who.int/gb/ebwha/pdf_files/A61/A61_R17-en.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health/ph_information/documents/health_in_all_policies.pdf" TargetMode="External"/><Relationship Id="rId24" Type="http://schemas.openxmlformats.org/officeDocument/2006/relationships/hyperlink" Target="http://www.who.int/hac/events/consultation_report_health_migrants_colour_web.pdf" TargetMode="External"/><Relationship Id="rId5" Type="http://schemas.openxmlformats.org/officeDocument/2006/relationships/footnotes" Target="footnotes.xml"/><Relationship Id="rId15" Type="http://schemas.openxmlformats.org/officeDocument/2006/relationships/hyperlink" Target="http://ec.europa.eu/health/social_determinants/docs/healthinequalitiesineu_2013_en.pdf" TargetMode="External"/><Relationship Id="rId23" Type="http://schemas.openxmlformats.org/officeDocument/2006/relationships/hyperlink" Target="http://www.who.int/nmh/publications/ncds_policy_makers_to_implement_intersectoral_action.pdf" TargetMode="External"/><Relationship Id="rId28" Type="http://schemas.openxmlformats.org/officeDocument/2006/relationships/header" Target="header3.xml"/><Relationship Id="rId10" Type="http://schemas.openxmlformats.org/officeDocument/2006/relationships/hyperlink" Target="http://ec.europa.eu/chafea/documents/health/health-inequality-brochure_en.pdf" TargetMode="External"/><Relationship Id="rId19" Type="http://schemas.openxmlformats.org/officeDocument/2006/relationships/hyperlink" Target="http://apps.who.int/iris/bitstream/10665/23467/1/A61_12-en.pdf?ua=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tb.ku.edu/en/table-of-contents/overview/model-for-community-change-and-improvement" TargetMode="External"/><Relationship Id="rId22" Type="http://schemas.openxmlformats.org/officeDocument/2006/relationships/hyperlink" Target="http://whqlibdoc.who.int/publications/2008/9789241563703_eng.pdf"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hqlibdoc.who.int/publications/2008/9789241563703_eng.pdf" TargetMode="External"/><Relationship Id="rId13" Type="http://schemas.openxmlformats.org/officeDocument/2006/relationships/hyperlink" Target="http://www.who.int/hac/events/consultation_report_health_migrants_colour_web.pdf" TargetMode="External"/><Relationship Id="rId3" Type="http://schemas.openxmlformats.org/officeDocument/2006/relationships/hyperlink" Target="http://ec.europa.eu/chafea/documents/health/health-inequality-brochure_en.pdf" TargetMode="External"/><Relationship Id="rId7" Type="http://schemas.openxmlformats.org/officeDocument/2006/relationships/hyperlink" Target="http://www.who.int/sdhconference/resources/ConceptualframeworkforactiononSDH_eng.pdf" TargetMode="External"/><Relationship Id="rId12" Type="http://schemas.openxmlformats.org/officeDocument/2006/relationships/hyperlink" Target="http://apps.who.int/gb/ebwha/pdf_files/A61/A61_R17-en.pdf" TargetMode="External"/><Relationship Id="rId2" Type="http://schemas.openxmlformats.org/officeDocument/2006/relationships/hyperlink" Target="http://ec.europa.eu/health/ph_information/documents/health_in_all_policies.pdf" TargetMode="External"/><Relationship Id="rId1" Type="http://schemas.openxmlformats.org/officeDocument/2006/relationships/hyperlink" Target="http://www.who.int/social_determinants/resources/health_equity_isa_2008_en.pdf?ua=1" TargetMode="External"/><Relationship Id="rId6" Type="http://schemas.openxmlformats.org/officeDocument/2006/relationships/hyperlink" Target="http://www.action-for-health.eu/sites/default/files/files/Situation%20Analysis%20and%20Needs%20Assessment%20in%20Seven%20EU-Countries%20and%20Regions.pdf" TargetMode="External"/><Relationship Id="rId11" Type="http://schemas.openxmlformats.org/officeDocument/2006/relationships/hyperlink" Target="http://apps.who.int/iris/bitstream/10665/23467/1/A61_12-en.pdf?ua=1" TargetMode="External"/><Relationship Id="rId5" Type="http://schemas.openxmlformats.org/officeDocument/2006/relationships/hyperlink" Target="http://www.who.int/nmh/publications/ncds_policy_makers_to_implement_intersectoral_action.pdf" TargetMode="External"/><Relationship Id="rId15" Type="http://schemas.openxmlformats.org/officeDocument/2006/relationships/hyperlink" Target="http://www.redcimas.org/wordpress/wp-content/uploads/2012/09/manual_2010.pdf" TargetMode="External"/><Relationship Id="rId10" Type="http://schemas.openxmlformats.org/officeDocument/2006/relationships/hyperlink" Target="https://www.msssi.gob.es/profesionales/saludPublica/prevPromocion/promocion/desigualdadSalud/PresidenciaUE_2010/conferenciaExpertos/docs/haciaLaEquidadEnSalud_en.pdf" TargetMode="External"/><Relationship Id="rId4" Type="http://schemas.openxmlformats.org/officeDocument/2006/relationships/hyperlink" Target="http://www.euro.who.int/__data/assets/pdf_file/0005/171707/Intersectoral-governance-for-health-in-all-policies.pdf" TargetMode="External"/><Relationship Id="rId9" Type="http://schemas.openxmlformats.org/officeDocument/2006/relationships/hyperlink" Target="http://ec.europa.eu/health/social_determinants/docs/healthinequalitiesineu_2013_en.pdf" TargetMode="External"/><Relationship Id="rId14" Type="http://schemas.openxmlformats.org/officeDocument/2006/relationships/hyperlink" Target="http://ctb.ku.edu/en/table-of-contents/overview/model-for-community-change-and-improv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9</Pages>
  <Words>2636</Words>
  <Characters>14499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dc:title>
  <dc:subject/>
  <dc:creator/>
  <cp:keywords/>
  <dc:description/>
  <cp:lastModifiedBy>acanton</cp:lastModifiedBy>
  <cp:revision>4</cp:revision>
  <cp:lastPrinted>2015-03-26T13:20:00Z</cp:lastPrinted>
  <dcterms:created xsi:type="dcterms:W3CDTF">2016-04-19T08:36:00Z</dcterms:created>
  <dcterms:modified xsi:type="dcterms:W3CDTF">2016-11-10T10:14:00Z</dcterms:modified>
</cp:coreProperties>
</file>