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D0" w:rsidRDefault="003203D0">
      <w:pPr>
        <w:spacing w:after="0"/>
        <w:ind w:left="-1702" w:right="10280"/>
      </w:pPr>
      <w:r>
        <w:rPr>
          <w:noProof/>
          <w:lang w:val="es-ES" w:eastAsia="es-ES"/>
        </w:rPr>
        <w:pict>
          <v:group id="Group 16120" o:spid="_x0000_s1036" style="position:absolute;left:0;text-align:left;margin-left:0;margin-top:.45pt;width:594.95pt;height:841.05pt;z-index:251658240;mso-position-horizontal-relative:page;mso-position-vertical-relative:page" coordsize="75559,106813">
            <v:shape id="Shape 6" o:spid="_x0000_s1037" style="position:absolute;left:8997;top:97389;width:56007;height:0" coordsize="5600700,0" path="m,l5600700,e" filled="f" fillcolor="black">
              <v:fill opacity="0"/>
            </v:shape>
            <v:rect id="Rectangle 7" o:spid="_x0000_s1038" style="position:absolute;left:8994;top:97261;width:478;height:132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color w:val="404040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39" style="position:absolute;left:8994;top:99959;width:7447;height:132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i/>
                        <w:color w:val="404040"/>
                        <w:sz w:val="16"/>
                      </w:rPr>
                      <w:t>September</w:t>
                    </w:r>
                  </w:p>
                </w:txbxContent>
              </v:textbox>
            </v:rect>
            <v:rect id="Rectangle 9" o:spid="_x0000_s1040" style="position:absolute;left:14602;top:99959;width:964;height:132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i/>
                        <w:color w:val="404040"/>
                        <w:sz w:val="16"/>
                      </w:rPr>
                      <w:t xml:space="preserve">, </w:t>
                    </w:r>
                  </w:p>
                </w:txbxContent>
              </v:textbox>
            </v:rect>
            <v:rect id="Rectangle 10" o:spid="_x0000_s1041" style="position:absolute;left:15318;top:99959;width:3456;height:132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i/>
                        <w:color w:val="404040"/>
                        <w:sz w:val="16"/>
                      </w:rPr>
                      <w:t>2015</w:t>
                    </w:r>
                  </w:p>
                </w:txbxContent>
              </v:textbox>
            </v:rect>
            <v:rect id="Rectangle 11" o:spid="_x0000_s1042" style="position:absolute;left:17924;top:99668;width:656;height:1817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color w:val="404040"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43" style="position:absolute;left:8994;top:96406;width:656;height:1817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color w:val="404040"/>
                      </w:rPr>
                      <w:t xml:space="preserve"> </w:t>
                    </w:r>
                  </w:p>
                </w:txbxContent>
              </v:textbox>
            </v:rect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Picture 18836" o:spid="_x0000_s1044" type="#_x0000_t99" style="position:absolute;top:-26;width:75438;height:106832" adj="0,,0" filled="f">
              <v:stroke joinstyle="round"/>
              <v:imagedata r:id="rId7" o:title=""/>
              <v:path o:connecttype="segments"/>
            </v:shape>
            <v:rect id="Rectangle 15" o:spid="_x0000_s1045" style="position:absolute;left:14739;top:28728;width:62866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 xml:space="preserve">Tréningové aktivity pre zdravotníckych pracovníkov na zlepšenie prístupu a </w:t>
                    </w:r>
                  </w:p>
                </w:txbxContent>
              </v:textbox>
            </v:rect>
            <v:rect id="Rectangle 16" o:spid="_x0000_s1046" style="position:absolute;left:15714;top:30865;width:60292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 xml:space="preserve">kvality zdravotníckych služieb pre migrantov a etnické menšiny, vrátane </w:t>
                    </w:r>
                  </w:p>
                </w:txbxContent>
              </v:textbox>
            </v:rect>
            <v:rect id="Rectangle 17" o:spid="_x0000_s1047" style="position:absolute;left:35990;top:32999;width:5967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>Rómov</w:t>
                    </w:r>
                  </w:p>
                </w:txbxContent>
              </v:textbox>
            </v:rect>
            <v:rect id="Rectangle 18" o:spid="_x0000_s1048" style="position:absolute;left:40486;top:32999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9" o:spid="_x0000_s1049" style="position:absolute;left:35457;top:36412;width:4443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>MEM</w:t>
                    </w:r>
                  </w:p>
                </w:txbxContent>
              </v:textbox>
            </v:rect>
            <v:rect id="Rectangle 20" o:spid="_x0000_s1050" style="position:absolute;left:38794;top:36412;width:674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>-</w:t>
                    </w:r>
                  </w:p>
                </w:txbxContent>
              </v:textbox>
            </v:rect>
            <v:rect id="Rectangle 21" o:spid="_x0000_s1051" style="position:absolute;left:39297;top:36412;width:2290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>TP</w:t>
                    </w:r>
                  </w:p>
                </w:txbxContent>
              </v:textbox>
            </v:rect>
            <v:rect id="Rectangle 22" o:spid="_x0000_s1052" style="position:absolute;left:41019;top:36412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53" style="position:absolute;left:31964;top:40065;width:13456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MODUL </w:t>
                    </w:r>
                  </w:p>
                </w:txbxContent>
              </v:textbox>
            </v:rect>
            <v:rect id="Rectangle 24" o:spid="_x0000_s1054" style="position:absolute;left:42086;top:40065;width:2161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4</w:t>
                    </w:r>
                  </w:p>
                </w:txbxContent>
              </v:textbox>
            </v:rect>
            <v:rect id="Rectangle 25" o:spid="_x0000_s1055" style="position:absolute;left:43717;top:40065;width:1097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.</w:t>
                    </w:r>
                  </w:p>
                </w:txbxContent>
              </v:textbox>
            </v:rect>
            <v:rect id="Rectangle 26" o:spid="_x0000_s1056" style="position:absolute;left:44524;top:40065;width:1039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27" o:spid="_x0000_s1057" style="position:absolute;left:24100;top:44530;width:37615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APLIKÁCIA ZNALOSTÍ</w:t>
                    </w:r>
                  </w:p>
                </w:txbxContent>
              </v:textbox>
            </v:rect>
            <v:rect id="Rectangle 28" o:spid="_x0000_s1058" style="position:absolute;left:52377;top:44530;width:1039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29" o:spid="_x0000_s1059" style="position:absolute;left:19524;top:48996;width:18598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KAPITOLA </w:t>
                    </w:r>
                  </w:p>
                </w:txbxContent>
              </v:textbox>
            </v:rect>
            <v:rect id="Rectangle 30" o:spid="_x0000_s1060" style="position:absolute;left:33503;top:48996;width:2161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6</w:t>
                    </w:r>
                  </w:p>
                </w:txbxContent>
              </v:textbox>
            </v:rect>
            <v:rect id="Rectangle 16117" o:spid="_x0000_s1061" style="position:absolute;left:36051;top:48996;width:1039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16116" o:spid="_x0000_s1062" style="position:absolute;left:35137;top:48996;width:1222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:</w:t>
                    </w:r>
                  </w:p>
                </w:txbxContent>
              </v:textbox>
            </v:rect>
            <v:rect id="Rectangle 32" o:spid="_x0000_s1063" style="position:absolute;left:36828;top:48996;width:27807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Medzisektorový </w:t>
                    </w:r>
                  </w:p>
                </w:txbxContent>
              </v:textbox>
            </v:rect>
            <v:rect id="Rectangle 33" o:spid="_x0000_s1064" style="position:absolute;left:33671;top:52183;width:12152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prístup</w:t>
                    </w:r>
                  </w:p>
                </w:txbxContent>
              </v:textbox>
            </v:rect>
            <v:rect id="Rectangle 34" o:spid="_x0000_s1065" style="position:absolute;left:42818;top:52183;width:1039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35" o:spid="_x0000_s1066" style="position:absolute;left:43595;top:52183;width:1039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36" o:spid="_x0000_s1067" style="position:absolute;left:33549;top:56649;width:12492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>Pokyny</w:t>
                    </w:r>
                  </w:p>
                </w:txbxContent>
              </v:textbox>
            </v:rect>
            <v:rect id="Rectangle 37" o:spid="_x0000_s1068" style="position:absolute;left:42939;top:56649;width:1039;height:2963" filled="f" stroked="f">
              <v:textbox inset="0,0,0,0">
                <w:txbxContent>
                  <w:p w:rsidR="003203D0" w:rsidRDefault="003203D0">
                    <w:r>
                      <w:rPr>
                        <w:rFonts w:ascii="Verdana" w:hAnsi="Verdana" w:cs="Verdana"/>
                        <w:b/>
                        <w:i/>
                        <w:color w:val="263673"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rect id="Rectangle 38" o:spid="_x0000_s1069" style="position:absolute;left:34738;top:60875;width:93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>Pripravené:</w:t>
                    </w:r>
                  </w:p>
                </w:txbxContent>
              </v:textbox>
            </v:rect>
            <v:rect id="Rectangle 39" o:spid="_x0000_s1070" style="position:absolute;left:41736;top:60875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71" style="position:absolute;left:34357;top:63024;width:10734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Amets Suess </w:t>
                    </w:r>
                  </w:p>
                </w:txbxContent>
              </v:textbox>
            </v:rect>
            <v:rect id="Rectangle 41" o:spid="_x0000_s1072" style="position:absolute;left:42421;top:63024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73" style="position:absolute;left:27407;top:65158;width:28820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>Andalúzska škola verejného zdravia</w:t>
                    </w:r>
                  </w:p>
                </w:txbxContent>
              </v:textbox>
            </v:rect>
            <v:rect id="Rectangle 43" o:spid="_x0000_s1074" style="position:absolute;left:49085;top:65158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5" style="position:absolute;left:35091;top:67291;width:839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>Upravené:</w:t>
                    </w:r>
                  </w:p>
                </w:txbxContent>
              </v:textbox>
            </v:rect>
            <v:rect id="Rectangle 45" o:spid="_x0000_s1076" style="position:absolute;left:41385;top:67291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6" o:spid="_x0000_s1077" style="position:absolute;left:33839;top:69440;width:11723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>Marek Majdan</w:t>
                    </w:r>
                  </w:p>
                </w:txbxContent>
              </v:textbox>
            </v:rect>
            <v:rect id="Rectangle 47" o:spid="_x0000_s1078" style="position:absolute;left:42650;top:69440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8" o:spid="_x0000_s1079" style="position:absolute;left:29480;top:71578;width:23281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>Trnavská univerzita v Trnave</w:t>
                    </w:r>
                  </w:p>
                </w:txbxContent>
              </v:textbox>
            </v:rect>
            <v:rect id="Rectangle 49" o:spid="_x0000_s1080" style="position:absolute;left:46993;top:71578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0" o:spid="_x0000_s1081" style="position:absolute;left:38246;top:73726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82" style="position:absolute;left:38246;top:77110;width:405;height:2051" filled="f" stroked="f">
              <v:textbox inset="0,0,0,0">
                <w:txbxContent>
                  <w:p w:rsidR="003203D0" w:rsidRDefault="003203D0">
                    <w:r>
                      <w:rPr>
                        <w:rFonts w:ascii="Corbel" w:hAnsi="Corbel" w:cs="Corbel"/>
                        <w:i/>
                        <w:color w:val="26367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br w:type="page"/>
      </w:r>
    </w:p>
    <w:p w:rsidR="003203D0" w:rsidRDefault="003203D0">
      <w:pPr>
        <w:spacing w:after="312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310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312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310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312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284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206" w:line="269" w:lineRule="auto"/>
        <w:ind w:left="-5" w:right="65" w:hanging="10"/>
        <w:jc w:val="both"/>
      </w:pPr>
      <w:r>
        <w:rPr>
          <w:rFonts w:ascii="Corbel" w:hAnsi="Corbel" w:cs="Corbel"/>
          <w:color w:val="263673"/>
          <w:sz w:val="20"/>
        </w:rPr>
        <w:t xml:space="preserve">© Európska únia, 2015 </w:t>
      </w:r>
    </w:p>
    <w:p w:rsidR="003203D0" w:rsidRDefault="003203D0">
      <w:pPr>
        <w:spacing w:after="206" w:line="269" w:lineRule="auto"/>
        <w:ind w:left="-5" w:right="65" w:hanging="10"/>
        <w:jc w:val="both"/>
      </w:pPr>
      <w:r>
        <w:rPr>
          <w:rFonts w:ascii="Corbel" w:hAnsi="Corbel" w:cs="Corbel"/>
          <w:color w:val="263673"/>
          <w:sz w:val="20"/>
        </w:rPr>
        <w:t xml:space="preserve">Pre akúkoľvek reprodukciu textovej a multimediálnej informácie, ktoré nie sú pod © Európskej únie, je potrebné vyžiadať si povolenie priamo od držiteľov autorských práv. </w:t>
      </w:r>
    </w:p>
    <w:p w:rsidR="003203D0" w:rsidRDefault="003203D0">
      <w:pPr>
        <w:spacing w:after="206" w:line="269" w:lineRule="auto"/>
        <w:ind w:left="-5" w:right="65" w:hanging="10"/>
        <w:jc w:val="both"/>
      </w:pPr>
      <w:r>
        <w:rPr>
          <w:rFonts w:ascii="Corbel" w:hAnsi="Corbel" w:cs="Corbel"/>
          <w:color w:val="263673"/>
          <w:sz w:val="20"/>
        </w:rPr>
        <w:t xml:space="preserve">© Ilustrácie obálky: Observatorio de la Infancia de Andalucía, Escuela Andaluza de Salud Pública. Junta de Andalucía. </w:t>
      </w:r>
    </w:p>
    <w:p w:rsidR="003203D0" w:rsidRDefault="003203D0">
      <w:pPr>
        <w:spacing w:after="244"/>
      </w:pPr>
      <w:r>
        <w:rPr>
          <w:rFonts w:ascii="Corbel" w:hAnsi="Corbel" w:cs="Corbel"/>
          <w:color w:val="263673"/>
          <w:sz w:val="20"/>
        </w:rPr>
        <w:t xml:space="preserve"> </w:t>
      </w:r>
    </w:p>
    <w:p w:rsidR="003203D0" w:rsidRDefault="003203D0">
      <w:pPr>
        <w:spacing w:after="313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437"/>
      </w:pPr>
      <w:r>
        <w:rPr>
          <w:rFonts w:ascii="Verdana" w:hAnsi="Verdana" w:cs="Verdana"/>
          <w:color w:val="404040"/>
        </w:rPr>
        <w:t xml:space="preserve"> </w:t>
      </w:r>
    </w:p>
    <w:p w:rsidR="003203D0" w:rsidRDefault="003203D0">
      <w:pPr>
        <w:spacing w:after="172" w:line="306" w:lineRule="auto"/>
        <w:ind w:left="91" w:right="189" w:hanging="91"/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1" o:spid="_x0000_s1083" type="#_x0000_t75" style="position:absolute;left:0;text-align:left;margin-left:107.8pt;margin-top:-2.15pt;width:311.65pt;height:54.4pt;z-index:251657216;visibility:visible" o:allowoverlap="f">
            <v:imagedata r:id="rId8" o:title=""/>
            <w10:wrap type="square"/>
          </v:shape>
        </w:pict>
      </w:r>
      <w:r>
        <w:rPr>
          <w:rFonts w:ascii="Verdana" w:hAnsi="Verdana" w:cs="Verdana"/>
          <w:color w:val="404040"/>
        </w:rPr>
        <w:t xml:space="preserve"> </w:t>
      </w:r>
      <w:r>
        <w:rPr>
          <w:rFonts w:ascii="Arial" w:hAnsi="Arial" w:cs="Arial"/>
          <w:b/>
          <w:color w:val="333399"/>
          <w:sz w:val="14"/>
        </w:rPr>
        <w:t xml:space="preserve">Migrants &amp; Ethnic Minorities Training Packages  </w:t>
      </w:r>
    </w:p>
    <w:p w:rsidR="003203D0" w:rsidRDefault="003203D0">
      <w:pPr>
        <w:tabs>
          <w:tab w:val="center" w:pos="688"/>
        </w:tabs>
        <w:spacing w:after="105"/>
      </w:pPr>
      <w:r>
        <w:rPr>
          <w:rFonts w:ascii="Verdana" w:hAnsi="Verdana" w:cs="Verdana"/>
          <w:color w:val="404040"/>
        </w:rPr>
        <w:t xml:space="preserve"> </w:t>
      </w:r>
      <w:r>
        <w:rPr>
          <w:rFonts w:ascii="Verdana" w:hAnsi="Verdana" w:cs="Verdana"/>
          <w:color w:val="404040"/>
        </w:rPr>
        <w:tab/>
      </w:r>
      <w:r w:rsidRPr="007E2DA3">
        <w:rPr>
          <w:noProof/>
          <w:lang w:val="es-ES" w:eastAsia="es-ES"/>
        </w:rPr>
        <w:pict>
          <v:shape id="Picture 75" o:spid="_x0000_i1025" type="#_x0000_t75" style="width:27.75pt;height:18pt;visibility:visible">
            <v:imagedata r:id="rId9" o:title=""/>
          </v:shape>
        </w:pict>
      </w:r>
    </w:p>
    <w:p w:rsidR="003203D0" w:rsidRDefault="003203D0">
      <w:pPr>
        <w:spacing w:after="201"/>
      </w:pPr>
      <w:r>
        <w:rPr>
          <w:color w:val="404040"/>
        </w:rPr>
        <w:t xml:space="preserve"> </w:t>
      </w:r>
    </w:p>
    <w:p w:rsidR="003203D0" w:rsidRDefault="003203D0">
      <w:pPr>
        <w:spacing w:after="215"/>
      </w:pPr>
      <w:r>
        <w:rPr>
          <w:rFonts w:ascii="Corbel" w:hAnsi="Corbel" w:cs="Corbel"/>
          <w:color w:val="263673"/>
          <w:sz w:val="20"/>
        </w:rPr>
        <w:t xml:space="preserve"> </w:t>
      </w:r>
    </w:p>
    <w:p w:rsidR="003203D0" w:rsidRDefault="003203D0">
      <w:pPr>
        <w:spacing w:after="206" w:line="269" w:lineRule="auto"/>
        <w:ind w:left="-5" w:right="65" w:hanging="10"/>
        <w:jc w:val="both"/>
        <w:rPr>
          <w:rFonts w:ascii="Corbel" w:hAnsi="Corbel" w:cs="Corbel"/>
          <w:color w:val="263673"/>
          <w:sz w:val="20"/>
        </w:rPr>
      </w:pPr>
      <w:r>
        <w:rPr>
          <w:rFonts w:ascii="Corbel" w:hAnsi="Corbel" w:cs="Corbel"/>
          <w:color w:val="263673"/>
          <w:sz w:val="20"/>
        </w:rPr>
        <w:t xml:space="preserve">Financované Európskou úniou v rámci programu EÚ v oblasti zdravia (2008-2013), v rámci zmluvy o poskytovaní služieb s Výkonnou agentúrou pre spotrebiteľov, zdravie, poľnohospodárstvo a potraviny konajúcej v rámci mandátu od Európskej komisie. Obsah tejto správy reprezentuje názory Andalúzskej školy verejného zdravotníctva (Andalusian School of Public Health- EASP)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 </w:t>
      </w:r>
    </w:p>
    <w:p w:rsidR="003203D0" w:rsidRDefault="003203D0">
      <w:pPr>
        <w:spacing w:after="206" w:line="269" w:lineRule="auto"/>
        <w:ind w:left="-5" w:right="65" w:hanging="10"/>
        <w:jc w:val="both"/>
        <w:sectPr w:rsidR="003203D0" w:rsidSect="001264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899" w:h="16841"/>
          <w:pgMar w:top="1421" w:right="1619" w:bottom="1416" w:left="1702" w:header="708" w:footer="708" w:gutter="0"/>
          <w:cols w:space="708"/>
          <w:titlePg/>
        </w:sectPr>
      </w:pPr>
    </w:p>
    <w:p w:rsidR="003203D0" w:rsidRPr="004B08F5" w:rsidRDefault="003203D0" w:rsidP="004B08F5">
      <w:pPr>
        <w:spacing w:after="0" w:line="240" w:lineRule="auto"/>
        <w:ind w:left="-5" w:right="65" w:hanging="10"/>
        <w:jc w:val="both"/>
        <w:rPr>
          <w:rFonts w:ascii="Verdana" w:hAnsi="Verdana"/>
        </w:rPr>
      </w:pPr>
    </w:p>
    <w:p w:rsidR="003203D0" w:rsidRPr="004B08F5" w:rsidRDefault="003203D0" w:rsidP="004B08F5">
      <w:pPr>
        <w:spacing w:after="0" w:line="240" w:lineRule="auto"/>
        <w:ind w:left="10" w:right="79" w:hanging="10"/>
        <w:jc w:val="center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8"/>
        </w:rPr>
        <w:t xml:space="preserve">Modul 4, Aplikácia znalostí </w:t>
      </w:r>
    </w:p>
    <w:p w:rsidR="003203D0" w:rsidRPr="004B08F5" w:rsidRDefault="003203D0" w:rsidP="004B08F5">
      <w:pPr>
        <w:spacing w:after="0" w:line="240" w:lineRule="auto"/>
        <w:ind w:left="10" w:right="77" w:hanging="10"/>
        <w:jc w:val="center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8"/>
        </w:rPr>
        <w:t xml:space="preserve">Kapitola 6: Medzisektorový prístup </w:t>
      </w:r>
    </w:p>
    <w:p w:rsidR="003203D0" w:rsidRPr="004B08F5" w:rsidRDefault="003203D0" w:rsidP="004B08F5">
      <w:pPr>
        <w:spacing w:after="0" w:line="240" w:lineRule="auto"/>
        <w:ind w:right="17"/>
        <w:jc w:val="center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8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pStyle w:val="Heading1"/>
        <w:spacing w:line="240" w:lineRule="auto"/>
        <w:ind w:left="345" w:right="0" w:hanging="360"/>
        <w:rPr>
          <w:rFonts w:ascii="Verdana" w:hAnsi="Verdana"/>
        </w:rPr>
      </w:pPr>
      <w:r w:rsidRPr="004B08F5">
        <w:rPr>
          <w:rFonts w:ascii="Verdana" w:hAnsi="Verdana"/>
        </w:rPr>
        <w:t xml:space="preserve">Účely a metódy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8"/>
        </w:rPr>
        <w:t xml:space="preserve"> </w:t>
      </w:r>
    </w:p>
    <w:p w:rsidR="003203D0" w:rsidRPr="004B08F5" w:rsidRDefault="003203D0" w:rsidP="004B08F5">
      <w:pPr>
        <w:pStyle w:val="Heading2"/>
        <w:spacing w:line="240" w:lineRule="auto"/>
        <w:ind w:left="1416" w:hanging="710"/>
        <w:rPr>
          <w:rFonts w:ascii="Verdana" w:hAnsi="Verdana"/>
        </w:rPr>
      </w:pPr>
      <w:r w:rsidRPr="004B08F5">
        <w:rPr>
          <w:rFonts w:ascii="Verdana" w:hAnsi="Verdana"/>
        </w:rPr>
        <w:t xml:space="preserve">Účely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sz w:val="24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Účely prezentácie </w:t>
      </w:r>
    </w:p>
    <w:p w:rsidR="003203D0" w:rsidRPr="004B08F5" w:rsidRDefault="003203D0" w:rsidP="004B08F5">
      <w:pPr>
        <w:numPr>
          <w:ilvl w:val="0"/>
          <w:numId w:val="1"/>
        </w:numPr>
        <w:spacing w:after="0" w:line="240" w:lineRule="auto"/>
        <w:ind w:right="64" w:hanging="348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Zaviesť pojem “medzisektor” a príslušné aplikácie v rámci zdravotnej starostlivosti a stratégie zdravotníctva určenej migrantom a etnickým skupinám. </w:t>
      </w: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72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Účely aktivít </w:t>
      </w:r>
    </w:p>
    <w:p w:rsidR="003203D0" w:rsidRPr="004B08F5" w:rsidRDefault="003203D0" w:rsidP="004B08F5">
      <w:pPr>
        <w:numPr>
          <w:ilvl w:val="0"/>
          <w:numId w:val="1"/>
        </w:numPr>
        <w:spacing w:after="0" w:line="240" w:lineRule="auto"/>
        <w:ind w:right="64" w:hanging="348"/>
        <w:jc w:val="both"/>
        <w:rPr>
          <w:rFonts w:ascii="Verdana" w:hAnsi="Verdana"/>
        </w:rPr>
      </w:pPr>
      <w:r w:rsidRPr="004B08F5">
        <w:rPr>
          <w:rFonts w:ascii="Verdana" w:hAnsi="Verdana"/>
        </w:rPr>
        <w:t>Identifikovať príslušné zainteresované strany, zdroje, interakcie, prekážky a stratégie pre medzisektorové opatrenia týkajúce sa zdravia migrantov a etnických menšín vo vlastnom kontexte.</w:t>
      </w: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pStyle w:val="Heading2"/>
        <w:spacing w:line="240" w:lineRule="auto"/>
        <w:ind w:left="1416" w:hanging="710"/>
        <w:rPr>
          <w:rFonts w:ascii="Verdana" w:hAnsi="Verdana"/>
        </w:rPr>
      </w:pPr>
      <w:r w:rsidRPr="004B08F5">
        <w:rPr>
          <w:rFonts w:ascii="Verdana" w:hAnsi="Verdana"/>
        </w:rPr>
        <w:t xml:space="preserve">Metódy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8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1" w:hanging="10"/>
        <w:jc w:val="both"/>
        <w:rPr>
          <w:rFonts w:ascii="Verdana" w:hAnsi="Verdana"/>
        </w:rPr>
      </w:pPr>
      <w:r w:rsidRPr="004B08F5">
        <w:rPr>
          <w:rFonts w:ascii="Verdana" w:hAnsi="Verdana"/>
          <w:i/>
          <w:color w:val="008080"/>
        </w:rPr>
        <w:t xml:space="preserve">Čas potrebný na Modul 4 je 5 hodín, cca 50 min. na každú kapitolu. Vzdelávacie materiály každej kapitoly sa skladajú z prezentácií, aktivít, videí, odporúčanej / doplnkovej literatúry a audiovizuálneho materiálu.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i/>
          <w:color w:val="008080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1" w:hanging="10"/>
        <w:jc w:val="both"/>
        <w:rPr>
          <w:rFonts w:ascii="Verdana" w:hAnsi="Verdana"/>
        </w:rPr>
      </w:pPr>
      <w:r w:rsidRPr="004B08F5">
        <w:rPr>
          <w:rFonts w:ascii="Verdana" w:hAnsi="Verdana"/>
          <w:i/>
          <w:color w:val="008080"/>
        </w:rPr>
        <w:t xml:space="preserve">Každá kapitola obsahuje jednu alebo viac aktivít. Vzľadom na obmedzený časový priestor nebudete schopní prejsť všetkými aktivitami. Odporúčame vám vybrať si obsah prezentácie a aktivity, ktoré považujete sa najzaujímavejšie a rozdeliť si čas medzi prezentácie a aktivity. Odporúčame tiež ponechať si dostatok času na aktivity a diskusiu, cca 50% času.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4"/>
        </w:rPr>
        <w:t xml:space="preserve"> </w:t>
      </w:r>
    </w:p>
    <w:tbl>
      <w:tblPr>
        <w:tblW w:w="8666" w:type="dxa"/>
        <w:tblInd w:w="-120" w:type="dxa"/>
        <w:tblCellMar>
          <w:top w:w="46" w:type="dxa"/>
          <w:left w:w="43" w:type="dxa"/>
          <w:right w:w="65" w:type="dxa"/>
        </w:tblCellMar>
        <w:tblLook w:val="00A0"/>
      </w:tblPr>
      <w:tblGrid>
        <w:gridCol w:w="1311"/>
        <w:gridCol w:w="2852"/>
        <w:gridCol w:w="2154"/>
        <w:gridCol w:w="2349"/>
      </w:tblGrid>
      <w:tr w:rsidR="003203D0" w:rsidRPr="004B08F5" w:rsidTr="003238F0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  <w:b/>
              </w:rPr>
              <w:t xml:space="preserve">Čas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  <w:b/>
              </w:rPr>
              <w:t xml:space="preserve">Účely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  <w:b/>
              </w:rPr>
              <w:t xml:space="preserve">Aktivity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  <w:b/>
              </w:rPr>
              <w:t xml:space="preserve">Zdroje </w:t>
            </w:r>
          </w:p>
        </w:tc>
      </w:tr>
      <w:tr w:rsidR="003203D0" w:rsidRPr="004B08F5" w:rsidTr="003238F0">
        <w:trPr>
          <w:trHeight w:val="216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20 minút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tabs>
                <w:tab w:val="center" w:pos="286"/>
                <w:tab w:val="center" w:pos="1482"/>
              </w:tabs>
              <w:spacing w:after="0" w:line="240" w:lineRule="auto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ab/>
            </w:r>
            <w:r w:rsidRPr="004B08F5">
              <w:rPr>
                <w:rFonts w:ascii="Verdana" w:hAnsi="Verdana" w:cs="Segoe UI"/>
                <w:sz w:val="20"/>
              </w:rPr>
              <w:t></w:t>
            </w:r>
            <w:r w:rsidRPr="004B08F5">
              <w:rPr>
                <w:rFonts w:ascii="Verdana" w:hAnsi="Verdana" w:cs="Arial"/>
                <w:sz w:val="20"/>
              </w:rPr>
              <w:t xml:space="preserve"> </w:t>
            </w:r>
            <w:r w:rsidRPr="004B08F5">
              <w:rPr>
                <w:rFonts w:ascii="Verdana" w:hAnsi="Verdana" w:cs="Arial"/>
                <w:sz w:val="20"/>
              </w:rPr>
              <w:tab/>
            </w:r>
            <w:r w:rsidRPr="004B08F5">
              <w:rPr>
                <w:rFonts w:ascii="Verdana" w:hAnsi="Verdana"/>
              </w:rPr>
              <w:t xml:space="preserve">Zaviesť pojem </w:t>
            </w:r>
          </w:p>
          <w:p w:rsidR="003203D0" w:rsidRPr="004B08F5" w:rsidRDefault="003203D0" w:rsidP="004B08F5">
            <w:pPr>
              <w:spacing w:after="0" w:line="240" w:lineRule="auto"/>
              <w:ind w:left="524" w:right="10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“medzisektor” a príslušné aplikácie v rámci zdravotnej starostlivosti a politiky zdravotníctva určenej migrantom a etnickým skupinám. </w:t>
            </w:r>
            <w:r w:rsidRPr="004B08F5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  <w:b/>
              </w:rPr>
              <w:t xml:space="preserve">Prezentácia </w:t>
            </w:r>
            <w:r w:rsidRPr="004B08F5">
              <w:rPr>
                <w:rFonts w:ascii="Verdana" w:hAnsi="Verdana"/>
              </w:rPr>
              <w:t xml:space="preserve">“Medzisektorový prístup” a otázky </w:t>
            </w:r>
            <w:r w:rsidRPr="004B08F5">
              <w:rPr>
                <w:rFonts w:ascii="Verdana" w:hAnsi="Verdana"/>
                <w:i/>
              </w:rPr>
              <w:t xml:space="preserve">(Snímky 1-10)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Projektor, notebook, plátno. </w:t>
            </w:r>
          </w:p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 </w:t>
            </w:r>
          </w:p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M4_U6_Prezentácia </w:t>
            </w:r>
          </w:p>
        </w:tc>
      </w:tr>
      <w:tr w:rsidR="003203D0" w:rsidRPr="004B08F5" w:rsidTr="003238F0">
        <w:trPr>
          <w:trHeight w:val="29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40 minút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524" w:right="166" w:hanging="476"/>
              <w:jc w:val="both"/>
              <w:rPr>
                <w:rFonts w:ascii="Verdana" w:hAnsi="Verdana"/>
              </w:rPr>
            </w:pPr>
            <w:r w:rsidRPr="004B08F5">
              <w:rPr>
                <w:rFonts w:ascii="Verdana" w:hAnsi="Verdana" w:cs="Segoe UI"/>
                <w:sz w:val="20"/>
              </w:rPr>
              <w:t></w:t>
            </w:r>
            <w:r w:rsidRPr="004B08F5">
              <w:rPr>
                <w:rFonts w:ascii="Verdana" w:hAnsi="Verdana" w:cs="Arial"/>
                <w:sz w:val="20"/>
              </w:rPr>
              <w:t xml:space="preserve"> </w:t>
            </w:r>
            <w:r w:rsidRPr="004B08F5">
              <w:rPr>
                <w:rFonts w:ascii="Verdana" w:hAnsi="Verdana"/>
              </w:rPr>
              <w:t xml:space="preserve">Identifikovať príslušné zainteresované strany, zdroje, interakcie, prekážky a stratégie pre medzisektorové opatrenia týkajúce sa zdravia migrantov a etnických menšín vo vlastnom kontexte.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  <w:b/>
              </w:rPr>
              <w:t>Aktivita</w:t>
            </w:r>
            <w:r w:rsidRPr="004B08F5">
              <w:rPr>
                <w:rFonts w:ascii="Verdana" w:hAnsi="Verdana"/>
              </w:rPr>
              <w:t xml:space="preserve"> “Mapovanie medzisektorových opatrení” </w:t>
            </w:r>
          </w:p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V troch častiach: </w:t>
            </w:r>
          </w:p>
          <w:p w:rsidR="003203D0" w:rsidRPr="004B08F5" w:rsidRDefault="003203D0" w:rsidP="004B08F5">
            <w:pPr>
              <w:numPr>
                <w:ilvl w:val="0"/>
                <w:numId w:val="4"/>
              </w:numPr>
              <w:spacing w:after="0" w:line="240" w:lineRule="auto"/>
              <w:ind w:hanging="432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Prezentácia metodiky </w:t>
            </w:r>
          </w:p>
          <w:p w:rsidR="003203D0" w:rsidRPr="004B08F5" w:rsidRDefault="003203D0" w:rsidP="004B08F5">
            <w:pPr>
              <w:numPr>
                <w:ilvl w:val="0"/>
                <w:numId w:val="4"/>
              </w:numPr>
              <w:spacing w:after="0" w:line="240" w:lineRule="auto"/>
              <w:ind w:hanging="432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Aktivita mapovania (v podskupinách) </w:t>
            </w:r>
          </w:p>
          <w:p w:rsidR="003203D0" w:rsidRPr="004B08F5" w:rsidRDefault="003203D0" w:rsidP="004B08F5">
            <w:pPr>
              <w:numPr>
                <w:ilvl w:val="0"/>
                <w:numId w:val="4"/>
              </w:numPr>
              <w:spacing w:after="0" w:line="240" w:lineRule="auto"/>
              <w:ind w:hanging="432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Ukončenie </w:t>
            </w:r>
          </w:p>
          <w:p w:rsidR="003203D0" w:rsidRPr="004B08F5" w:rsidRDefault="003203D0" w:rsidP="004B08F5">
            <w:pPr>
              <w:spacing w:after="0" w:line="240" w:lineRule="auto"/>
              <w:ind w:right="50"/>
              <w:jc w:val="right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aktivity a diskusia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Projektor, notebook, plátno. </w:t>
            </w:r>
          </w:p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 </w:t>
            </w:r>
          </w:p>
          <w:p w:rsidR="003203D0" w:rsidRPr="004B08F5" w:rsidRDefault="003203D0" w:rsidP="004B08F5">
            <w:pPr>
              <w:spacing w:after="0" w:line="240" w:lineRule="auto"/>
              <w:ind w:left="65" w:right="608"/>
              <w:jc w:val="both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Papier, karty, zvýrazňovače, nožnice, lepidlo </w:t>
            </w:r>
          </w:p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 </w:t>
            </w:r>
          </w:p>
          <w:p w:rsidR="003203D0" w:rsidRPr="004B08F5" w:rsidRDefault="003203D0" w:rsidP="004B08F5">
            <w:pPr>
              <w:spacing w:after="0" w:line="240" w:lineRule="auto"/>
              <w:ind w:left="65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 </w:t>
            </w:r>
          </w:p>
        </w:tc>
      </w:tr>
      <w:tr w:rsidR="003203D0" w:rsidRPr="004B08F5" w:rsidTr="003238F0">
        <w:trPr>
          <w:trHeight w:val="8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ind w:left="360"/>
              <w:rPr>
                <w:rFonts w:ascii="Verdana" w:hAnsi="Verdana"/>
              </w:rPr>
            </w:pPr>
            <w:r w:rsidRPr="004B08F5">
              <w:rPr>
                <w:rFonts w:ascii="Verdana" w:hAnsi="Verdana"/>
              </w:rPr>
              <w:t xml:space="preserve">v pléne </w:t>
            </w:r>
          </w:p>
          <w:p w:rsidR="003203D0" w:rsidRPr="004B08F5" w:rsidRDefault="003203D0" w:rsidP="004B08F5">
            <w:pPr>
              <w:spacing w:after="0" w:line="240" w:lineRule="auto"/>
              <w:rPr>
                <w:rFonts w:ascii="Verdana" w:hAnsi="Verdana"/>
              </w:rPr>
            </w:pPr>
            <w:r w:rsidRPr="004B08F5">
              <w:rPr>
                <w:rFonts w:ascii="Verdana" w:hAnsi="Verdana"/>
                <w:i/>
              </w:rPr>
              <w:t xml:space="preserve">(Snímok 11) </w:t>
            </w:r>
          </w:p>
          <w:p w:rsidR="003203D0" w:rsidRPr="004B08F5" w:rsidRDefault="003203D0" w:rsidP="004B08F5">
            <w:pPr>
              <w:spacing w:after="0" w:line="240" w:lineRule="auto"/>
              <w:rPr>
                <w:rFonts w:ascii="Verdana" w:hAnsi="Verdana"/>
              </w:rPr>
            </w:pPr>
            <w:r w:rsidRPr="004B08F5">
              <w:rPr>
                <w:rFonts w:ascii="Verdana" w:hAnsi="Verdana"/>
                <w:i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D0" w:rsidRPr="004B08F5" w:rsidRDefault="003203D0" w:rsidP="004B08F5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4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4"/>
        </w:rPr>
        <w:t xml:space="preserve"> </w:t>
      </w:r>
    </w:p>
    <w:p w:rsidR="003203D0" w:rsidRPr="004B08F5" w:rsidRDefault="003203D0" w:rsidP="004B08F5">
      <w:pPr>
        <w:pStyle w:val="Heading1"/>
        <w:spacing w:line="240" w:lineRule="auto"/>
        <w:ind w:left="345" w:right="0" w:hanging="360"/>
        <w:rPr>
          <w:rFonts w:ascii="Verdana" w:hAnsi="Verdana"/>
        </w:rPr>
      </w:pPr>
      <w:r w:rsidRPr="004B08F5">
        <w:rPr>
          <w:rFonts w:ascii="Verdana" w:hAnsi="Verdana"/>
        </w:rPr>
        <w:t xml:space="preserve">Prezentácia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sz w:val="24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1: </w:t>
      </w:r>
      <w:r w:rsidRPr="004B08F5">
        <w:rPr>
          <w:rFonts w:ascii="Verdana" w:hAnsi="Verdana"/>
        </w:rPr>
        <w:t xml:space="preserve"> Titulná strana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>Snímok 2:</w:t>
      </w:r>
      <w:r w:rsidRPr="004B08F5">
        <w:rPr>
          <w:rFonts w:ascii="Verdana" w:hAnsi="Verdana"/>
        </w:rPr>
        <w:t xml:space="preserve"> Prehľad sedenia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3: </w:t>
      </w:r>
      <w:r w:rsidRPr="004B08F5">
        <w:rPr>
          <w:rFonts w:ascii="Verdana" w:hAnsi="Verdana"/>
        </w:rPr>
        <w:t>“Medzisektorové opatrenie v rámci zdravia” bolo zadefinované nasledovne:</w:t>
      </w:r>
      <w:r w:rsidRPr="004B08F5">
        <w:rPr>
          <w:rFonts w:ascii="Verdana" w:hAnsi="Verdana"/>
          <w:i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576" w:right="646" w:hanging="10"/>
        <w:jc w:val="both"/>
        <w:rPr>
          <w:rFonts w:ascii="Verdana" w:hAnsi="Verdana"/>
        </w:rPr>
      </w:pPr>
      <w:r w:rsidRPr="004B08F5">
        <w:rPr>
          <w:rFonts w:ascii="Verdana" w:hAnsi="Verdana"/>
          <w:sz w:val="20"/>
        </w:rPr>
        <w:t>Medzisektorové opatrenie v rámci zdravia môže byť zadefinované ako koordinovaná akcia, ktorá sa výslovne usiluje o zlepšenie zdravia ľudí alebo ovplyvnenie determinantov zdravia. Medzisektorové opatrenie v rámci zdravia je vnímané ako hlavná súčasť dosiahnutia väčšej rovnoprávnosti v oblasti zdravia ale najmä tam, kde vývoj ako taký závisí od rozhodnutí a akcií v ostatných sektoroch.</w:t>
      </w:r>
      <w:r w:rsidRPr="004B08F5">
        <w:rPr>
          <w:rFonts w:ascii="Verdana" w:hAnsi="Verdana"/>
          <w:sz w:val="20"/>
          <w:vertAlign w:val="superscript"/>
        </w:rPr>
        <w:footnoteReference w:id="1"/>
      </w:r>
      <w:r w:rsidRPr="004B08F5">
        <w:rPr>
          <w:rFonts w:ascii="Verdana" w:hAnsi="Verdana"/>
          <w:sz w:val="20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566"/>
        <w:rPr>
          <w:rFonts w:ascii="Verdana" w:hAnsi="Verdana"/>
        </w:rPr>
      </w:pPr>
      <w:r w:rsidRPr="004B08F5">
        <w:rPr>
          <w:rFonts w:ascii="Verdana" w:hAnsi="Verdana"/>
          <w:sz w:val="20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576" w:right="646" w:hanging="10"/>
        <w:jc w:val="both"/>
        <w:rPr>
          <w:rFonts w:ascii="Verdana" w:hAnsi="Verdana"/>
        </w:rPr>
      </w:pPr>
      <w:r w:rsidRPr="004B08F5">
        <w:rPr>
          <w:rFonts w:ascii="Verdana" w:hAnsi="Verdana"/>
          <w:sz w:val="20"/>
        </w:rPr>
        <w:t>Pod pojmom “medzisektorové opatrenia v rámci zdravia” rozumieme opatrenia podniknuté v sektoroch mimo zdravotného sektora pravdepodobne, no nie nevyhnutne v spolupráci so zdravotným sektorom vzhľadom na determinanty zdravia alebo rovnoprávnosti v rámci zdravia.</w:t>
      </w:r>
      <w:r w:rsidRPr="004B08F5">
        <w:rPr>
          <w:rFonts w:ascii="Verdana" w:hAnsi="Verdana"/>
          <w:sz w:val="20"/>
          <w:vertAlign w:val="superscript"/>
        </w:rPr>
        <w:footnoteReference w:id="2"/>
      </w:r>
      <w:r w:rsidRPr="004B08F5">
        <w:rPr>
          <w:rFonts w:ascii="Verdana" w:hAnsi="Verdana"/>
          <w:sz w:val="20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566"/>
        <w:rPr>
          <w:rFonts w:ascii="Verdana" w:hAnsi="Verdana"/>
        </w:rPr>
      </w:pPr>
      <w:r w:rsidRPr="004B08F5">
        <w:rPr>
          <w:rFonts w:ascii="Verdana" w:hAnsi="Verdana"/>
          <w:sz w:val="20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>Snímok 4: Medzisektorové opatrenie</w:t>
      </w:r>
      <w:r w:rsidRPr="004B08F5">
        <w:rPr>
          <w:rFonts w:ascii="Verdana" w:hAnsi="Verdana"/>
        </w:rPr>
        <w:t xml:space="preserve"> je koncipované ako súvisiace s modelom </w:t>
      </w:r>
      <w:r w:rsidRPr="004B08F5">
        <w:rPr>
          <w:rFonts w:ascii="Verdana" w:hAnsi="Verdana"/>
          <w:b/>
        </w:rPr>
        <w:t>sociálnych determinantov v oblasti zdravia</w:t>
      </w:r>
      <w:r w:rsidRPr="004B08F5">
        <w:rPr>
          <w:rFonts w:ascii="Verdana" w:hAnsi="Verdana"/>
        </w:rPr>
        <w:t xml:space="preserve"> a </w:t>
      </w:r>
      <w:r w:rsidRPr="004B08F5">
        <w:rPr>
          <w:rFonts w:ascii="Verdana" w:hAnsi="Verdana"/>
          <w:b/>
        </w:rPr>
        <w:t>stratégií určených na redukciu nerovností zdravia</w:t>
      </w:r>
      <w:r w:rsidRPr="004B08F5">
        <w:rPr>
          <w:rFonts w:ascii="Verdana" w:hAnsi="Verdana"/>
        </w:rPr>
        <w:t xml:space="preserve">. 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Okrem toho je medzisektorové opatrenie považované za jednu z hlavných čŕt </w:t>
      </w:r>
      <w:r w:rsidRPr="004B08F5">
        <w:rPr>
          <w:rFonts w:ascii="Verdana" w:hAnsi="Verdana"/>
          <w:b/>
          <w:i/>
        </w:rPr>
        <w:t xml:space="preserve">“Rámca všetkých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  <w:i/>
        </w:rPr>
        <w:t>stratégií zdravia</w:t>
      </w:r>
      <w:r w:rsidRPr="004B08F5">
        <w:rPr>
          <w:rFonts w:ascii="Verdana" w:hAnsi="Verdana"/>
          <w:i/>
        </w:rPr>
        <w:t>”.</w:t>
      </w:r>
      <w:r w:rsidRPr="004B08F5">
        <w:rPr>
          <w:rFonts w:ascii="Verdana" w:hAnsi="Verdana"/>
          <w:i/>
          <w:sz w:val="14"/>
          <w:vertAlign w:val="superscript"/>
        </w:rPr>
        <w:footnoteReference w:id="3"/>
      </w:r>
      <w:r w:rsidRPr="004B08F5">
        <w:rPr>
          <w:rFonts w:ascii="Verdana" w:hAnsi="Verdana"/>
          <w:i/>
          <w:sz w:val="14"/>
        </w:rPr>
        <w:t>,</w:t>
      </w:r>
      <w:r w:rsidRPr="004B08F5">
        <w:rPr>
          <w:rFonts w:ascii="Verdana" w:hAnsi="Verdana"/>
          <w:i/>
          <w:sz w:val="14"/>
          <w:vertAlign w:val="superscript"/>
        </w:rPr>
        <w:footnoteReference w:id="4"/>
      </w:r>
      <w:r w:rsidRPr="004B08F5">
        <w:rPr>
          <w:rFonts w:ascii="Verdana" w:hAnsi="Verdana"/>
          <w:i/>
          <w:sz w:val="14"/>
        </w:rPr>
        <w:t>,</w:t>
      </w:r>
      <w:r w:rsidRPr="004B08F5">
        <w:rPr>
          <w:rFonts w:ascii="Verdana" w:hAnsi="Verdana"/>
          <w:i/>
          <w:sz w:val="14"/>
          <w:vertAlign w:val="superscript"/>
        </w:rPr>
        <w:footnoteReference w:id="5"/>
      </w:r>
      <w:r w:rsidRPr="004B08F5">
        <w:rPr>
          <w:rFonts w:ascii="Verdana" w:hAnsi="Verdana"/>
          <w:i/>
          <w:sz w:val="14"/>
        </w:rPr>
        <w:t>,</w:t>
      </w:r>
      <w:r w:rsidRPr="004B08F5">
        <w:rPr>
          <w:rFonts w:ascii="Verdana" w:hAnsi="Verdana"/>
          <w:i/>
          <w:sz w:val="14"/>
          <w:vertAlign w:val="superscript"/>
        </w:rPr>
        <w:footnoteReference w:id="6"/>
      </w:r>
      <w:r w:rsidRPr="004B08F5">
        <w:rPr>
          <w:rFonts w:ascii="Verdana" w:hAnsi="Verdana"/>
          <w:i/>
          <w:sz w:val="14"/>
        </w:rPr>
        <w:t>,</w:t>
      </w:r>
      <w:r w:rsidRPr="004B08F5">
        <w:rPr>
          <w:rFonts w:ascii="Verdana" w:hAnsi="Verdana"/>
          <w:i/>
          <w:sz w:val="14"/>
          <w:vertAlign w:val="superscript"/>
        </w:rPr>
        <w:footnoteReference w:id="7"/>
      </w:r>
      <w:r w:rsidRPr="004B08F5">
        <w:rPr>
          <w:rFonts w:ascii="Verdana" w:hAnsi="Verdana"/>
          <w:i/>
          <w:sz w:val="14"/>
        </w:rPr>
        <w:t>,8,9</w:t>
      </w:r>
      <w:r w:rsidRPr="004B08F5">
        <w:rPr>
          <w:rFonts w:ascii="Verdana" w:hAnsi="Verdana"/>
          <w:sz w:val="14"/>
        </w:rPr>
        <w:t>,</w:t>
      </w:r>
      <w:r w:rsidRPr="004B08F5">
        <w:rPr>
          <w:rFonts w:ascii="Verdana" w:hAnsi="Verdana"/>
          <w:i/>
          <w:sz w:val="14"/>
        </w:rPr>
        <w:t>10,11</w:t>
      </w:r>
      <w:r w:rsidRPr="004B08F5">
        <w:rPr>
          <w:rFonts w:ascii="Verdana" w:hAnsi="Verdana"/>
          <w:sz w:val="20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right="75"/>
        <w:jc w:val="both"/>
        <w:rPr>
          <w:rFonts w:ascii="Verdana" w:hAnsi="Verdana"/>
        </w:rPr>
      </w:pPr>
      <w:r w:rsidRPr="004B08F5">
        <w:rPr>
          <w:rFonts w:ascii="Verdana" w:hAnsi="Verdana"/>
          <w:i/>
        </w:rPr>
        <w:t>“Zdravie vo všetkých politických stratégiách (HiAP)”</w:t>
      </w:r>
      <w:r w:rsidRPr="004B08F5">
        <w:rPr>
          <w:rFonts w:ascii="Verdana" w:hAnsi="Verdana"/>
        </w:rPr>
        <w:t xml:space="preserve"> je definované ako </w:t>
      </w:r>
      <w:r w:rsidRPr="004B08F5">
        <w:rPr>
          <w:rFonts w:ascii="Verdana" w:hAnsi="Verdana"/>
          <w:i/>
        </w:rPr>
        <w:t>“politická stratégia, ktorá sa zameriava na kľúčové sociálne determinanty v oblasti zdravia prostredníctvom integrovaných politických opatrení v rámci všetkých relevantných oblastí politiky”.</w:t>
      </w:r>
      <w:r w:rsidRPr="004B08F5">
        <w:rPr>
          <w:rFonts w:ascii="Verdana" w:hAnsi="Verdana"/>
          <w:i/>
          <w:vertAlign w:val="superscript"/>
        </w:rPr>
        <w:t xml:space="preserve"> 12</w:t>
      </w: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Medzisektorová činnosť </w:t>
      </w:r>
      <w:r w:rsidRPr="004B08F5">
        <w:rPr>
          <w:rFonts w:ascii="Verdana" w:hAnsi="Verdana"/>
        </w:rPr>
        <w:t xml:space="preserve">je vyvíjaná a vykonávaná na medzinárodnej, európskej, národnej, regionálnej a komunitnej úrovni a to za účasti mnohých inštitúcií a zainteresovaných strán, medzi ktorými sú medzinárodné, európske, národné, regionálne alebo miestne orgány a inštitúcie v oblasti zdravia, sociálnej a vzdelávacej oblasti, zákonodarné orgány, profesijné združenia, organizácie občianskych združení, médiá, združenia atď.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5: </w:t>
      </w:r>
      <w:r w:rsidRPr="004B08F5">
        <w:rPr>
          <w:rFonts w:ascii="Verdana" w:hAnsi="Verdana"/>
        </w:rPr>
        <w:t xml:space="preserve">Prerokované správy a strategické dokumenty identifikujú niekoľko </w:t>
      </w:r>
      <w:r w:rsidRPr="004B08F5">
        <w:rPr>
          <w:rFonts w:ascii="Verdana" w:hAnsi="Verdana"/>
          <w:b/>
        </w:rPr>
        <w:t>možností</w:t>
      </w:r>
      <w:r w:rsidRPr="004B08F5">
        <w:rPr>
          <w:rFonts w:ascii="Verdana" w:hAnsi="Verdana"/>
        </w:rPr>
        <w:t xml:space="preserve"> a </w:t>
      </w:r>
      <w:r w:rsidRPr="004B08F5">
        <w:rPr>
          <w:rFonts w:ascii="Verdana" w:hAnsi="Verdana"/>
          <w:b/>
        </w:rPr>
        <w:t xml:space="preserve">obmedzení </w:t>
      </w:r>
      <w:r w:rsidRPr="004B08F5">
        <w:rPr>
          <w:rFonts w:ascii="Verdana" w:hAnsi="Verdana"/>
        </w:rPr>
        <w:t>vzťahujúcich sa k medzisektorovej činnosti.</w:t>
      </w:r>
      <w:r w:rsidRPr="004B08F5">
        <w:rPr>
          <w:rFonts w:ascii="Verdana" w:hAnsi="Verdana"/>
          <w:b/>
        </w:rPr>
        <w:t xml:space="preserve"> </w:t>
      </w: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Vzhľadom na  </w:t>
      </w:r>
      <w:r w:rsidRPr="004B08F5">
        <w:rPr>
          <w:rFonts w:ascii="Verdana" w:hAnsi="Verdana"/>
          <w:b/>
        </w:rPr>
        <w:t xml:space="preserve">príležitosti </w:t>
      </w:r>
      <w:r w:rsidRPr="004B08F5">
        <w:rPr>
          <w:rFonts w:ascii="Verdana" w:hAnsi="Verdana"/>
        </w:rPr>
        <w:t xml:space="preserve">je zdôraznený vývoj synergií, dosiahnutie medzisektorových vedľajších prínosov, posilnenie rovnosti v oblasti zdravia a zníženie zemepisných nerovností.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 ohľadom </w:t>
      </w:r>
      <w:r w:rsidRPr="004B08F5">
        <w:rPr>
          <w:rFonts w:ascii="Verdana" w:hAnsi="Verdana"/>
        </w:rPr>
        <w:t xml:space="preserve">na obmedzenia sa preskúmané strategické dokumenty a správy vzťahujú na ťažkosti pri zlepšovaní sociálnych determinantov zdravia, náklady na medzisektorové intervencie, ťažkosti pri meraní  vyváženia nákladov a prínosov, obmedzenú implementáciu na lokálnej úrovni v dôsledku zníženia priorít na úrovni európskej, národnej a regionálnej ako aj vo všeobecnosti ťažkosti s dosiahnutím zlepšenia sociálnych determinantov zdravia.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6: </w:t>
      </w:r>
      <w:r w:rsidRPr="004B08F5">
        <w:rPr>
          <w:rFonts w:ascii="Verdana" w:hAnsi="Verdana"/>
        </w:rPr>
        <w:t xml:space="preserve">Zhodnotené strategické dokumenty a správy idetifikujú potenciálne </w:t>
      </w:r>
      <w:r w:rsidRPr="004B08F5">
        <w:rPr>
          <w:rFonts w:ascii="Verdana" w:hAnsi="Verdana"/>
          <w:b/>
        </w:rPr>
        <w:t>stratégie</w:t>
      </w:r>
      <w:r w:rsidRPr="004B08F5">
        <w:rPr>
          <w:rFonts w:ascii="Verdana" w:hAnsi="Verdana"/>
        </w:rPr>
        <w:t xml:space="preserve"> na zlepšenie </w:t>
      </w:r>
      <w:r w:rsidRPr="004B08F5">
        <w:rPr>
          <w:rFonts w:ascii="Verdana" w:hAnsi="Verdana"/>
          <w:b/>
        </w:rPr>
        <w:t>implementácie medzisektorových opatrení</w:t>
      </w:r>
      <w:r w:rsidRPr="004B08F5">
        <w:rPr>
          <w:rFonts w:ascii="Verdana" w:hAnsi="Verdana"/>
        </w:rPr>
        <w:t xml:space="preserve">. Zdôrazňujú význam vylepšenia politického a inštitucionálneho uznania medzisektorovej činnosti vrátane dlhodobého výhľadu.  Okrem toho zdôrazňujú význam zabezpečenia kontinuity, hodnotenia a monitorovania, podporovanie komunitnej participácie ako aj potrebu adaptovať medzisektorové činnosti ku špecifickým politickým, ekonomickým a kultúrnym kontextom.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7:  Prehľad 64 opatrení riešiacich nerovnosti v oblasti zdravia </w:t>
      </w:r>
      <w:r w:rsidRPr="004B08F5">
        <w:rPr>
          <w:rFonts w:ascii="Verdana" w:hAnsi="Verdana"/>
        </w:rPr>
        <w:t>vykonaného v rámci Prvého a Druhého Programu zdravia</w:t>
      </w:r>
      <w:r w:rsidRPr="004B08F5">
        <w:rPr>
          <w:rFonts w:ascii="Verdana" w:hAnsi="Verdana"/>
          <w:b/>
        </w:rPr>
        <w:t>,</w:t>
      </w:r>
      <w:r w:rsidRPr="004B08F5">
        <w:rPr>
          <w:rFonts w:ascii="Verdana" w:hAnsi="Verdana"/>
        </w:rPr>
        <w:t xml:space="preserve"> ktorý zverejnila CHAFEA</w:t>
      </w:r>
      <w:r w:rsidRPr="004B08F5">
        <w:rPr>
          <w:rFonts w:ascii="Verdana" w:hAnsi="Verdana"/>
          <w:vertAlign w:val="superscript"/>
        </w:rPr>
        <w:t>13</w:t>
      </w:r>
      <w:r w:rsidRPr="004B08F5">
        <w:rPr>
          <w:rFonts w:ascii="Verdana" w:hAnsi="Verdana"/>
        </w:rPr>
        <w:t xml:space="preserve"> identifikuje </w:t>
      </w:r>
      <w:r w:rsidRPr="004B08F5">
        <w:rPr>
          <w:rFonts w:ascii="Verdana" w:hAnsi="Verdana"/>
          <w:i/>
        </w:rPr>
        <w:t xml:space="preserve">“Zdravie vo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 w:cs="Verdana"/>
          <w:strike/>
          <w:color w:val="404040"/>
        </w:rPr>
        <w:t xml:space="preserve">                                                                                                               </w:t>
      </w:r>
      <w:r w:rsidRPr="004B08F5">
        <w:rPr>
          <w:rFonts w:ascii="Verdana" w:hAnsi="Verdana" w:cs="Verdana"/>
          <w:color w:val="404040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hyperlink r:id="rId15">
        <w:r w:rsidRPr="004B08F5">
          <w:rPr>
            <w:rFonts w:ascii="Verdana" w:hAnsi="Verdana"/>
            <w:color w:val="0000FF"/>
            <w:sz w:val="18"/>
            <w:u w:val="single" w:color="0000FF"/>
          </w:rPr>
          <w:t>http://www.action</w:t>
        </w:r>
      </w:hyperlink>
      <w:hyperlink r:id="rId16">
        <w:r w:rsidRPr="004B08F5">
          <w:rPr>
            <w:rFonts w:ascii="Verdana" w:hAnsi="Verdana"/>
            <w:color w:val="0000FF"/>
            <w:sz w:val="18"/>
            <w:u w:val="single" w:color="0000FF"/>
          </w:rPr>
          <w:t>-</w:t>
        </w:r>
      </w:hyperlink>
      <w:hyperlink r:id="rId17">
        <w:r w:rsidRPr="004B08F5">
          <w:rPr>
            <w:rFonts w:ascii="Verdana" w:hAnsi="Verdana"/>
            <w:color w:val="0000FF"/>
            <w:sz w:val="18"/>
            <w:u w:val="single" w:color="0000FF"/>
          </w:rPr>
          <w:t>for</w:t>
        </w:r>
      </w:hyperlink>
      <w:hyperlink r:id="rId18"/>
      <w:hyperlink r:id="rId19">
        <w:r w:rsidRPr="004B08F5">
          <w:rPr>
            <w:rFonts w:ascii="Verdana" w:hAnsi="Verdana"/>
            <w:color w:val="0000FF"/>
            <w:sz w:val="18"/>
            <w:u w:val="single" w:color="0000FF"/>
          </w:rPr>
          <w:t>health.eu/sites/default/files/files/Situation%20Analysis%20and%20Needs%20Assessment%20in%20Seven%20EU</w:t>
        </w:r>
      </w:hyperlink>
      <w:hyperlink r:id="rId20"/>
      <w:hyperlink r:id="rId21">
        <w:r w:rsidRPr="004B08F5">
          <w:rPr>
            <w:rFonts w:ascii="Verdana" w:hAnsi="Verdana"/>
            <w:color w:val="0000FF"/>
            <w:sz w:val="18"/>
            <w:u w:val="single" w:color="0000FF"/>
          </w:rPr>
          <w:t>Countries%20and%20Regions.pdf</w:t>
        </w:r>
      </w:hyperlink>
      <w:hyperlink r:id="rId22">
        <w:r w:rsidRPr="004B08F5">
          <w:rPr>
            <w:rFonts w:ascii="Verdana" w:hAnsi="Verdana"/>
            <w:sz w:val="18"/>
          </w:rPr>
          <w:t xml:space="preserve"> (</w:t>
        </w:r>
      </w:hyperlink>
      <w:r w:rsidRPr="004B08F5">
        <w:rPr>
          <w:rFonts w:ascii="Verdana" w:hAnsi="Verdana"/>
          <w:sz w:val="18"/>
        </w:rPr>
        <w:t xml:space="preserve">obnovené: 18. decembra 2014).  </w:t>
      </w:r>
    </w:p>
    <w:p w:rsidR="003203D0" w:rsidRPr="004B08F5" w:rsidRDefault="003203D0" w:rsidP="004B08F5">
      <w:pPr>
        <w:numPr>
          <w:ilvl w:val="0"/>
          <w:numId w:val="2"/>
        </w:numPr>
        <w:spacing w:after="0" w:line="240" w:lineRule="auto"/>
        <w:ind w:right="65" w:hanging="108"/>
        <w:jc w:val="both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WHO, Svetová Zdravotnícka Organizácia. Abstraktný rámec pre činnosti týkajúce sa sociálnych determinantov v oblasti zdravia. Séria diskusných materiálov na tému sociálne determinanty v oblasti zdravia 2. Ženeva: WHO, 2010. </w:t>
      </w:r>
    </w:p>
    <w:p w:rsidR="003203D0" w:rsidRPr="004B08F5" w:rsidRDefault="003203D0" w:rsidP="004B08F5">
      <w:pPr>
        <w:spacing w:after="0" w:line="240" w:lineRule="auto"/>
        <w:ind w:left="-5" w:right="685" w:hanging="10"/>
        <w:rPr>
          <w:rFonts w:ascii="Verdana" w:hAnsi="Verdana"/>
        </w:rPr>
      </w:pPr>
      <w:hyperlink r:id="rId23">
        <w:r w:rsidRPr="004B08F5">
          <w:rPr>
            <w:rFonts w:ascii="Verdana" w:hAnsi="Verdana"/>
            <w:sz w:val="18"/>
          </w:rPr>
          <w:t xml:space="preserve"> </w:t>
        </w:r>
      </w:hyperlink>
      <w:hyperlink r:id="rId24">
        <w:r w:rsidRPr="004B08F5">
          <w:rPr>
            <w:rFonts w:ascii="Verdana" w:hAnsi="Verdana"/>
            <w:color w:val="0000FF"/>
            <w:sz w:val="18"/>
            <w:u w:val="single" w:color="0000FF"/>
          </w:rPr>
          <w:t>http://www.who.int/sdhconference/resources/ConceptualframeworkforactiononSDH_eng.pdf</w:t>
        </w:r>
      </w:hyperlink>
      <w:hyperlink r:id="rId25">
        <w:r w:rsidRPr="004B08F5">
          <w:rPr>
            <w:rFonts w:ascii="Verdana" w:hAnsi="Verdana"/>
            <w:sz w:val="18"/>
          </w:rPr>
          <w:t xml:space="preserve">  </w:t>
        </w:r>
      </w:hyperlink>
      <w:r w:rsidRPr="004B08F5">
        <w:rPr>
          <w:rFonts w:ascii="Verdana" w:hAnsi="Verdana"/>
          <w:sz w:val="18"/>
        </w:rPr>
        <w:t>(obnovené: 5. marca 2015).</w:t>
      </w:r>
      <w:r w:rsidRPr="004B08F5">
        <w:rPr>
          <w:rFonts w:ascii="Verdana" w:hAnsi="Verdana"/>
          <w:sz w:val="20"/>
        </w:rPr>
        <w:t xml:space="preserve"> </w:t>
      </w:r>
    </w:p>
    <w:p w:rsidR="003203D0" w:rsidRPr="004B08F5" w:rsidRDefault="003203D0" w:rsidP="004B08F5">
      <w:pPr>
        <w:numPr>
          <w:ilvl w:val="0"/>
          <w:numId w:val="2"/>
        </w:numPr>
        <w:spacing w:after="0" w:line="240" w:lineRule="auto"/>
        <w:ind w:right="65" w:hanging="108"/>
        <w:jc w:val="both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WHO, Svetová Zdravotnícka Organizácia. Komisia sociálnych determinantov v oblasti zdravia. Uzavretie medzery v </w:t>
      </w:r>
    </w:p>
    <w:p w:rsidR="003203D0" w:rsidRPr="004B08F5" w:rsidRDefault="003203D0" w:rsidP="004B08F5">
      <w:pPr>
        <w:spacing w:after="0" w:line="240" w:lineRule="auto"/>
        <w:ind w:left="-5" w:right="65" w:hanging="10"/>
        <w:jc w:val="both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generáciách. Rovnosť v oblasti zdravia prostredníctvom opatrení v oblasti sociálnych determinantov zdravia. Ženeva: WHO, 2008. </w:t>
      </w:r>
      <w:hyperlink r:id="rId26">
        <w:r w:rsidRPr="004B08F5">
          <w:rPr>
            <w:rFonts w:ascii="Verdana" w:hAnsi="Verdana"/>
            <w:color w:val="0000FF"/>
            <w:sz w:val="18"/>
            <w:u w:val="single" w:color="0000FF"/>
          </w:rPr>
          <w:t>http://whqlibdoc.who.int/publications/2008/9789241563703_eng.pdf</w:t>
        </w:r>
      </w:hyperlink>
      <w:hyperlink r:id="rId27">
        <w:r w:rsidRPr="004B08F5">
          <w:rPr>
            <w:rFonts w:ascii="Verdana" w:hAnsi="Verdana"/>
            <w:sz w:val="18"/>
          </w:rPr>
          <w:t xml:space="preserve"> </w:t>
        </w:r>
      </w:hyperlink>
      <w:r w:rsidRPr="004B08F5">
        <w:rPr>
          <w:rFonts w:ascii="Verdana" w:hAnsi="Verdana"/>
          <w:sz w:val="18"/>
        </w:rPr>
        <w:t xml:space="preserve">(obnovené: 5. marca 2015).  </w:t>
      </w:r>
    </w:p>
    <w:p w:rsidR="003203D0" w:rsidRPr="004B08F5" w:rsidRDefault="003203D0" w:rsidP="004B08F5">
      <w:pPr>
        <w:numPr>
          <w:ilvl w:val="0"/>
          <w:numId w:val="2"/>
        </w:numPr>
        <w:spacing w:after="0" w:line="240" w:lineRule="auto"/>
        <w:ind w:right="65" w:hanging="108"/>
        <w:jc w:val="both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Marmot M (vodca konzorcia). Nerovnosti v oblasti zdravia v EÚ. Záverečná správa konzorcia. Európska únia. 2013. </w:t>
      </w:r>
      <w:hyperlink r:id="rId28">
        <w:r w:rsidRPr="004B08F5">
          <w:rPr>
            <w:rFonts w:ascii="Verdana" w:hAnsi="Verdana"/>
            <w:color w:val="0000FF"/>
            <w:sz w:val="18"/>
            <w:u w:val="single" w:color="0000FF"/>
          </w:rPr>
          <w:t>http://ec.europa.eu/health/social_determinants/docs/healthinequalitiesineu_2013_en.pdf</w:t>
        </w:r>
      </w:hyperlink>
      <w:hyperlink r:id="rId29">
        <w:r w:rsidRPr="004B08F5">
          <w:rPr>
            <w:rFonts w:ascii="Verdana" w:hAnsi="Verdana"/>
            <w:sz w:val="18"/>
          </w:rPr>
          <w:t xml:space="preserve"> </w:t>
        </w:r>
      </w:hyperlink>
      <w:r w:rsidRPr="004B08F5">
        <w:rPr>
          <w:rFonts w:ascii="Verdana" w:hAnsi="Verdana"/>
          <w:sz w:val="18"/>
        </w:rPr>
        <w:t xml:space="preserve">(obnovené: 5. marca 2015).  </w:t>
      </w:r>
    </w:p>
    <w:p w:rsidR="003203D0" w:rsidRPr="004B08F5" w:rsidRDefault="003203D0" w:rsidP="004B08F5">
      <w:pPr>
        <w:numPr>
          <w:ilvl w:val="0"/>
          <w:numId w:val="2"/>
        </w:numPr>
        <w:spacing w:after="0" w:line="240" w:lineRule="auto"/>
        <w:ind w:right="65" w:hanging="108"/>
        <w:jc w:val="both"/>
        <w:rPr>
          <w:rFonts w:ascii="Verdana" w:hAnsi="Verdana"/>
        </w:rPr>
      </w:pPr>
      <w:r w:rsidRPr="004B08F5">
        <w:rPr>
          <w:rFonts w:ascii="Verdana" w:hAnsi="Verdana"/>
          <w:sz w:val="18"/>
        </w:rPr>
        <w:t>Ministerstvo zdravia a sociálnej politiky v Španielsku. Pohyb</w:t>
      </w:r>
      <w:r w:rsidRPr="004B08F5">
        <w:rPr>
          <w:rFonts w:ascii="Verdana" w:hAnsi="Verdana"/>
          <w:sz w:val="20"/>
        </w:rPr>
        <w:t xml:space="preserve"> v</w:t>
      </w:r>
      <w:r w:rsidRPr="004B08F5">
        <w:rPr>
          <w:rFonts w:ascii="Verdana" w:hAnsi="Verdana"/>
          <w:sz w:val="18"/>
        </w:rPr>
        <w:t xml:space="preserve">pred v rovnoprávnosti v oblasti zdravia: Monitorovanie sociálnych faktorov ovplyvňujúcich zdravie a znižovanie nerovností v oblasti zdravia. Nezávislý znalecký posudok zadaný cez Španielske predsedníctvo EÚ. Madrid: Ministerstvo zdravia a sociálnej politiky v Španielsku, 2010. 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hyperlink r:id="rId30">
        <w:r w:rsidRPr="004B08F5">
          <w:rPr>
            <w:rFonts w:ascii="Verdana" w:hAnsi="Verdana"/>
            <w:color w:val="0000FF"/>
            <w:sz w:val="18"/>
            <w:u w:val="single" w:color="0000FF"/>
          </w:rPr>
          <w:t xml:space="preserve">https://www.msssi.gob.es/profesionales/saludPublica/prevPromocion/promocion/desigualdadSalud/PresidenciaUE </w:t>
        </w:r>
      </w:hyperlink>
      <w:hyperlink r:id="rId31">
        <w:r w:rsidRPr="004B08F5">
          <w:rPr>
            <w:rFonts w:ascii="Verdana" w:hAnsi="Verdana"/>
            <w:color w:val="0000FF"/>
            <w:sz w:val="18"/>
            <w:u w:val="single" w:color="0000FF"/>
          </w:rPr>
          <w:t>_2010/conferenciaExpertos/docs/haciaLaEquidadEnSalud_en.pdf</w:t>
        </w:r>
      </w:hyperlink>
      <w:hyperlink r:id="rId32">
        <w:r w:rsidRPr="004B08F5">
          <w:rPr>
            <w:rFonts w:ascii="Verdana" w:hAnsi="Verdana"/>
            <w:sz w:val="18"/>
          </w:rPr>
          <w:t xml:space="preserve"> </w:t>
        </w:r>
      </w:hyperlink>
      <w:hyperlink r:id="rId33">
        <w:r w:rsidRPr="004B08F5">
          <w:rPr>
            <w:rFonts w:ascii="Verdana" w:hAnsi="Verdana"/>
            <w:sz w:val="18"/>
          </w:rPr>
          <w:t>o</w:t>
        </w:r>
      </w:hyperlink>
      <w:r w:rsidRPr="004B08F5">
        <w:rPr>
          <w:rFonts w:ascii="Verdana" w:hAnsi="Verdana"/>
          <w:sz w:val="18"/>
        </w:rPr>
        <w:t xml:space="preserve">bnovené: 5. marca 2015). </w:t>
      </w:r>
      <w:r w:rsidRPr="004B08F5">
        <w:rPr>
          <w:rFonts w:ascii="Verdana" w:hAnsi="Verdana"/>
          <w:sz w:val="18"/>
          <w:vertAlign w:val="superscript"/>
        </w:rPr>
        <w:t>12</w:t>
      </w:r>
      <w:r w:rsidRPr="004B08F5">
        <w:rPr>
          <w:rFonts w:ascii="Verdana" w:hAnsi="Verdana"/>
          <w:sz w:val="18"/>
        </w:rPr>
        <w:t xml:space="preserve"> CHAFEA 2014, op. cit., p. 21. 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sz w:val="18"/>
          <w:vertAlign w:val="superscript"/>
        </w:rPr>
        <w:t>13</w:t>
      </w:r>
      <w:r w:rsidRPr="004B08F5">
        <w:rPr>
          <w:rFonts w:ascii="Verdana" w:hAnsi="Verdana"/>
          <w:sz w:val="18"/>
        </w:rPr>
        <w:t xml:space="preserve"> CHAFEA 2014, op. cit., p. 21. 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i/>
        </w:rPr>
        <w:t>všetkých politických opatreniach (Medzisektorové Opatrenia)”</w:t>
      </w:r>
      <w:r w:rsidRPr="004B08F5">
        <w:rPr>
          <w:rFonts w:ascii="Verdana" w:hAnsi="Verdana"/>
        </w:rPr>
        <w:t xml:space="preserve"> ako menej častý typ zásahu, rovnako však aj ako pozorovanie rastúcej tendencie v Druhom Programe zdravia. </w:t>
      </w:r>
      <w:r w:rsidRPr="004B08F5">
        <w:rPr>
          <w:rFonts w:ascii="Verdana" w:hAnsi="Verdana"/>
          <w:i/>
        </w:rPr>
        <w:t>“Migranti a etnické menšiny</w:t>
      </w:r>
      <w:r w:rsidRPr="004B08F5">
        <w:rPr>
          <w:rFonts w:ascii="Verdana" w:hAnsi="Verdana"/>
        </w:rPr>
        <w:t xml:space="preserve">” sú identifikované ako príslušné cieľové skupiny zamerané v rámci opatrení na nerovnosti v oblasti zdravia vyvinutých v posledných rokoch.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8: </w:t>
      </w:r>
      <w:r w:rsidRPr="004B08F5">
        <w:rPr>
          <w:rFonts w:ascii="Verdana" w:hAnsi="Verdana"/>
        </w:rPr>
        <w:t xml:space="preserve">V strategických dokumentoch a nedávnych štúdiách je zdôraznený význam medzisektorového opatrenia v rámci zdravotnej starostlivosti a politické opatrenia zamerané na </w:t>
      </w:r>
      <w:r w:rsidRPr="004B08F5">
        <w:rPr>
          <w:rFonts w:ascii="Verdana" w:hAnsi="Verdana"/>
          <w:b/>
        </w:rPr>
        <w:t>migrantov a etnické menšiny.</w:t>
      </w:r>
      <w:r w:rsidRPr="004B08F5">
        <w:rPr>
          <w:rFonts w:ascii="Verdana" w:hAnsi="Verdana"/>
          <w:vertAlign w:val="superscript"/>
        </w:rPr>
        <w:footnoteReference w:id="8"/>
      </w:r>
      <w:r w:rsidRPr="004B08F5">
        <w:rPr>
          <w:rFonts w:ascii="Verdana" w:hAnsi="Verdana"/>
          <w:vertAlign w:val="superscript"/>
        </w:rPr>
        <w:t>,</w:t>
      </w:r>
      <w:r w:rsidRPr="004B08F5">
        <w:rPr>
          <w:rFonts w:ascii="Verdana" w:hAnsi="Verdana"/>
          <w:vertAlign w:val="superscript"/>
        </w:rPr>
        <w:footnoteReference w:id="9"/>
      </w:r>
      <w:r w:rsidRPr="004B08F5">
        <w:rPr>
          <w:rFonts w:ascii="Verdana" w:hAnsi="Verdana"/>
          <w:vertAlign w:val="superscript"/>
        </w:rPr>
        <w:t>,</w:t>
      </w:r>
      <w:r w:rsidRPr="004B08F5">
        <w:rPr>
          <w:rFonts w:ascii="Verdana" w:hAnsi="Verdana"/>
          <w:vertAlign w:val="superscript"/>
        </w:rPr>
        <w:footnoteReference w:id="10"/>
      </w:r>
      <w:r w:rsidRPr="004B08F5">
        <w:rPr>
          <w:rFonts w:ascii="Verdana" w:hAnsi="Verdana"/>
          <w:vertAlign w:val="superscript"/>
        </w:rPr>
        <w:t>,</w:t>
      </w:r>
      <w:r w:rsidRPr="004B08F5">
        <w:rPr>
          <w:rFonts w:ascii="Verdana" w:hAnsi="Verdana"/>
          <w:vertAlign w:val="superscript"/>
        </w:rPr>
        <w:footnoteReference w:id="11"/>
      </w:r>
      <w:r w:rsidRPr="004B08F5">
        <w:rPr>
          <w:rFonts w:ascii="Verdana" w:hAnsi="Verdana"/>
        </w:rPr>
        <w:t xml:space="preserve"> Medzisektorové opatrenie je považované za obzvlášť významné kvôli jeho ekonomickému, politickému a sociálnemu charakteru determinantov zdravia u týchto skupín obyvateľstva.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>Snímok 9:</w:t>
      </w:r>
      <w:r w:rsidRPr="004B08F5">
        <w:rPr>
          <w:rFonts w:ascii="Verdana" w:hAnsi="Verdana"/>
        </w:rPr>
        <w:t xml:space="preserve"> Zhodnotené strategické dokumenty a správy predložili </w:t>
      </w:r>
      <w:r w:rsidRPr="004B08F5">
        <w:rPr>
          <w:rFonts w:ascii="Verdana" w:hAnsi="Verdana"/>
          <w:b/>
        </w:rPr>
        <w:t>odporúčania</w:t>
      </w:r>
      <w:r w:rsidRPr="004B08F5">
        <w:rPr>
          <w:rFonts w:ascii="Verdana" w:hAnsi="Verdana"/>
        </w:rPr>
        <w:t xml:space="preserve"> týkajúce sa vo všeobecnosti medzisektorového opatrenia a konkrétne spojené s témou zdravia migrantov a etnických skupín. Odporúčajú podporu medzisektorových opatrení v rámci stratégií týkajúcich sa všetkých sekcií a “</w:t>
      </w:r>
      <w:r w:rsidRPr="004B08F5">
        <w:rPr>
          <w:rFonts w:ascii="Verdana" w:hAnsi="Verdana"/>
          <w:i/>
        </w:rPr>
        <w:t>Zdravia vo všetkých politických opatreniach</w:t>
      </w:r>
      <w:r w:rsidRPr="004B08F5">
        <w:rPr>
          <w:rFonts w:ascii="Verdana" w:hAnsi="Verdana"/>
        </w:rPr>
        <w:t xml:space="preserve">”, ako aj zamerania pozornosti na nerovnosti v oblasti zdravia namiesto limitovania opatrení, ktoré sú špecificky namierené na zraniteľné skupiny. Pri vývoji medzisektorových opatrení adresovaných migrantom a etnickým menšinám odporúča zvážiť sociálne determinanty zdravia. Okrem toho sa odporúča zavedenie medzisektorových opatrení zameraných na dopad súčasnej ekonomickej krízy na zdravotnú starostlivosť a zdravie, ako aj podporu monitorovania a priebežné posudzovanie medzisektorových opatrení. </w:t>
      </w:r>
    </w:p>
    <w:p w:rsidR="003203D0" w:rsidRPr="004B08F5" w:rsidRDefault="003203D0" w:rsidP="004B08F5">
      <w:pPr>
        <w:spacing w:after="0" w:line="240" w:lineRule="auto"/>
        <w:ind w:right="30"/>
        <w:jc w:val="center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10: </w:t>
      </w:r>
      <w:r w:rsidRPr="004B08F5">
        <w:rPr>
          <w:rFonts w:ascii="Verdana" w:hAnsi="Verdana"/>
        </w:rPr>
        <w:t>Pri zhotovení</w:t>
      </w:r>
      <w:r w:rsidRPr="004B08F5">
        <w:rPr>
          <w:rFonts w:ascii="Verdana" w:hAnsi="Verdana"/>
          <w:b/>
        </w:rPr>
        <w:t xml:space="preserve"> plánu medzisektorových opatrení </w:t>
      </w:r>
      <w:r w:rsidRPr="004B08F5">
        <w:rPr>
          <w:rFonts w:ascii="Verdana" w:hAnsi="Verdana"/>
        </w:rPr>
        <w:t xml:space="preserve">zameraných na zdravie migrantov a etnických menšín je potrebné zvážiť rôzne fázy.  V tomto snímku je ako príklad uvedený akčný plán založený na </w:t>
      </w:r>
      <w:r w:rsidRPr="004B08F5">
        <w:rPr>
          <w:rFonts w:ascii="Verdana" w:hAnsi="Verdana"/>
          <w:b/>
        </w:rPr>
        <w:t>metodike participatívneho plánovania, nástrojoch a školiacich materiáloch,</w:t>
      </w:r>
      <w:r w:rsidRPr="004B08F5">
        <w:rPr>
          <w:rFonts w:ascii="Verdana" w:hAnsi="Verdana"/>
          <w:vertAlign w:val="superscript"/>
        </w:rPr>
        <w:footnoteReference w:id="12"/>
      </w:r>
      <w:r w:rsidRPr="004B08F5">
        <w:rPr>
          <w:rFonts w:ascii="Verdana" w:hAnsi="Verdana"/>
          <w:vertAlign w:val="superscript"/>
        </w:rPr>
        <w:t>,</w:t>
      </w:r>
      <w:r w:rsidRPr="004B08F5">
        <w:rPr>
          <w:rFonts w:ascii="Verdana" w:hAnsi="Verdana"/>
          <w:vertAlign w:val="superscript"/>
        </w:rPr>
        <w:footnoteReference w:id="13"/>
      </w:r>
      <w:r w:rsidRPr="004B08F5">
        <w:rPr>
          <w:rFonts w:ascii="Verdana" w:hAnsi="Verdana"/>
          <w:vertAlign w:val="superscript"/>
        </w:rPr>
        <w:t>,</w:t>
      </w:r>
      <w:r w:rsidRPr="004B08F5">
        <w:rPr>
          <w:rFonts w:ascii="Verdana" w:hAnsi="Verdana"/>
          <w:vertAlign w:val="superscript"/>
        </w:rPr>
        <w:footnoteReference w:id="14"/>
      </w:r>
      <w:r w:rsidRPr="004B08F5">
        <w:rPr>
          <w:rFonts w:ascii="Verdana" w:hAnsi="Verdana"/>
          <w:vertAlign w:val="superscript"/>
        </w:rPr>
        <w:t>,21</w:t>
      </w:r>
      <w:r w:rsidRPr="004B08F5">
        <w:rPr>
          <w:rFonts w:ascii="Verdana" w:hAnsi="Verdana"/>
        </w:rPr>
        <w:t xml:space="preserve"> ktoré budú prispôsobené konkrétnemu kontextu.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Ako východiskový bod bola identifikovaná potreba medzisektorovej spolupráce a myšlienka spolupráce sa prenáša do ostatných sektorov a zúčastnených strán. Pri prvom stretnutí sa vymieňajú skúsenosti a očakávania, určia sa ciele spolupráce a je spracovaný medzisektorový plán. Proces začína vypracovaním situačnej analýzy prostredníctvom mapovania príslušných zúčastnených strán a existujúcich zdrojov a SWOT analýzy s cieľom identifikovať silné a slabé stránky, príležitosti a ohrozenia. Na základe výsledkov tejto situačnej analýzy sú vo fáze plánovania identifikované príslušné metodológie intervencií a pripravia sa intervencie a postupy. Vo fáze implementácie sú vykonané postupy a intervencie.  Medzisektorový akčný plán zahŕňa proces hodnotenia s cieľom odhaliť nedostatky a vylepšiť postupy a intervencie.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pStyle w:val="Heading1"/>
        <w:spacing w:line="240" w:lineRule="auto"/>
        <w:ind w:left="345" w:right="0" w:hanging="360"/>
        <w:rPr>
          <w:rFonts w:ascii="Verdana" w:hAnsi="Verdana"/>
        </w:rPr>
      </w:pPr>
      <w:r w:rsidRPr="004B08F5">
        <w:rPr>
          <w:rFonts w:ascii="Verdana" w:hAnsi="Verdana"/>
        </w:rPr>
        <w:t xml:space="preserve">Aktivita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Mapovanie zúčastnených strán a zdroje medzisektorových opatrení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11: </w:t>
      </w:r>
      <w:r w:rsidRPr="004B08F5">
        <w:rPr>
          <w:rFonts w:ascii="Verdana" w:hAnsi="Verdana"/>
        </w:rPr>
        <w:t xml:space="preserve">Táto aktivita pozostáva z troch častí: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numPr>
          <w:ilvl w:val="0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  <w:b/>
        </w:rPr>
        <w:t>Prezentácia metodiky</w:t>
      </w:r>
      <w:r w:rsidRPr="004B08F5">
        <w:rPr>
          <w:rFonts w:ascii="Verdana" w:hAnsi="Verdana"/>
          <w:b/>
          <w:i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numPr>
          <w:ilvl w:val="0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  <w:b/>
        </w:rPr>
        <w:t>Proces mapovania</w:t>
      </w:r>
      <w:r w:rsidRPr="004B08F5">
        <w:rPr>
          <w:rFonts w:ascii="Verdana" w:hAnsi="Verdana"/>
          <w:b/>
          <w:vertAlign w:val="superscript"/>
        </w:rPr>
        <w:footnoteReference w:id="15"/>
      </w:r>
      <w:r w:rsidRPr="004B08F5">
        <w:rPr>
          <w:rFonts w:ascii="Verdana" w:hAnsi="Verdana"/>
          <w:b/>
        </w:rPr>
        <w:t xml:space="preserve"> v malých skupinách </w:t>
      </w:r>
      <w:r w:rsidRPr="004B08F5">
        <w:rPr>
          <w:rFonts w:ascii="Verdana" w:hAnsi="Verdana"/>
          <w:i/>
        </w:rPr>
        <w:t xml:space="preserve">(3-4 ľudia)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i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1" w:hanging="10"/>
        <w:jc w:val="both"/>
        <w:rPr>
          <w:rFonts w:ascii="Verdana" w:hAnsi="Verdana"/>
        </w:rPr>
      </w:pPr>
      <w:r w:rsidRPr="004B08F5">
        <w:rPr>
          <w:rFonts w:ascii="Verdana" w:hAnsi="Verdana"/>
          <w:i/>
          <w:color w:val="008080"/>
        </w:rPr>
        <w:t xml:space="preserve">Malé skupiny by mali byť zložené z účastníkov každej inštitúcie miestnej / regionálnej alebo národnej oblasti tak, aby bolo možné vytvoriť mapu na základe konkrétnych skúseností. Ak sú všetci zúčastnení z rôznych oblastí, aktivita mapovania môže byť tiež realizovaná jednotlivo. </w:t>
      </w:r>
      <w:r w:rsidRPr="004B08F5">
        <w:rPr>
          <w:rFonts w:ascii="Verdana" w:hAnsi="Verdana"/>
          <w:i/>
          <w:color w:val="215868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i/>
        </w:rPr>
        <w:t xml:space="preserve"> </w:t>
      </w:r>
    </w:p>
    <w:p w:rsidR="003203D0" w:rsidRPr="004B08F5" w:rsidRDefault="003203D0" w:rsidP="004B08F5">
      <w:pPr>
        <w:numPr>
          <w:ilvl w:val="1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</w:rPr>
        <w:t xml:space="preserve">V malých skupinách </w:t>
      </w:r>
      <w:r w:rsidRPr="004B08F5">
        <w:rPr>
          <w:rFonts w:ascii="Verdana" w:hAnsi="Verdana"/>
          <w:i/>
          <w:color w:val="215868"/>
        </w:rPr>
        <w:t xml:space="preserve">(alebo jednotlivo): </w:t>
      </w: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numPr>
          <w:ilvl w:val="2"/>
          <w:numId w:val="3"/>
        </w:numPr>
        <w:spacing w:after="0" w:line="240" w:lineRule="auto"/>
        <w:ind w:right="64" w:hanging="336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Opíšte medzisektorové opatrenia týkajúce sa zdravia migrantov a etnických menšín, ktoré existujú vo vašej inštitúcii miestnej, regionálnej alebo národnej oblasti.  </w:t>
      </w:r>
    </w:p>
    <w:p w:rsidR="003203D0" w:rsidRPr="004B08F5" w:rsidRDefault="003203D0" w:rsidP="004B08F5">
      <w:pPr>
        <w:numPr>
          <w:ilvl w:val="2"/>
          <w:numId w:val="3"/>
        </w:numPr>
        <w:spacing w:after="0" w:line="240" w:lineRule="auto"/>
        <w:ind w:right="64" w:hanging="336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Vytvorte mapu príslušných zainteresovaných strán a zdrojov potrebných pre medzisektorové opatrenie.  </w:t>
      </w:r>
    </w:p>
    <w:p w:rsidR="003203D0" w:rsidRPr="004B08F5" w:rsidRDefault="003203D0" w:rsidP="004B08F5">
      <w:pPr>
        <w:numPr>
          <w:ilvl w:val="2"/>
          <w:numId w:val="3"/>
        </w:numPr>
        <w:spacing w:after="0" w:line="240" w:lineRule="auto"/>
        <w:ind w:right="64" w:hanging="336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Navrhnite existujúcu interakciu medzi zúčastnenými stranami. </w:t>
      </w:r>
      <w:r w:rsidRPr="004B08F5">
        <w:rPr>
          <w:rFonts w:ascii="Verdana" w:hAnsi="Verdana" w:cs="Courier New"/>
        </w:rPr>
        <w:t>o</w:t>
      </w:r>
      <w:r w:rsidRPr="004B08F5">
        <w:rPr>
          <w:rFonts w:ascii="Verdana" w:hAnsi="Verdana" w:cs="Arial"/>
        </w:rPr>
        <w:t xml:space="preserve"> </w:t>
      </w:r>
      <w:r w:rsidRPr="004B08F5">
        <w:rPr>
          <w:rFonts w:ascii="Verdana" w:hAnsi="Verdana"/>
        </w:rPr>
        <w:t xml:space="preserve">Vytvorte obraz budúcej ‘ideálnej’ medzisektorovej koordinácie. </w:t>
      </w:r>
    </w:p>
    <w:p w:rsidR="003203D0" w:rsidRPr="004B08F5" w:rsidRDefault="003203D0" w:rsidP="004B08F5">
      <w:pPr>
        <w:numPr>
          <w:ilvl w:val="2"/>
          <w:numId w:val="3"/>
        </w:numPr>
        <w:spacing w:after="0" w:line="240" w:lineRule="auto"/>
        <w:ind w:right="64" w:hanging="336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Identifikujte stratégie na dosiahnutie tohto ‘ideálneho’ obrazu.  </w:t>
      </w:r>
    </w:p>
    <w:p w:rsidR="003203D0" w:rsidRPr="004B08F5" w:rsidRDefault="003203D0" w:rsidP="004B08F5">
      <w:pPr>
        <w:spacing w:after="0" w:line="240" w:lineRule="auto"/>
        <w:ind w:left="720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370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</w:rPr>
        <w:t xml:space="preserve">Každá malá skupina je vyzvaná, aby si vybrala hovorcu ktorý odprezentuje mapu a príslušné úvahy v pléne. </w:t>
      </w:r>
    </w:p>
    <w:p w:rsidR="003203D0" w:rsidRPr="004B08F5" w:rsidRDefault="003203D0" w:rsidP="004B08F5">
      <w:pPr>
        <w:spacing w:after="0" w:line="240" w:lineRule="auto"/>
        <w:ind w:left="360"/>
        <w:rPr>
          <w:rFonts w:ascii="Verdana" w:hAnsi="Verdana"/>
        </w:rPr>
      </w:pPr>
      <w:r w:rsidRPr="004B08F5">
        <w:rPr>
          <w:rFonts w:ascii="Verdana" w:hAnsi="Verdana"/>
        </w:rPr>
        <w:t xml:space="preserve">  </w:t>
      </w:r>
    </w:p>
    <w:p w:rsidR="003203D0" w:rsidRPr="004B08F5" w:rsidRDefault="003203D0" w:rsidP="004B08F5">
      <w:pPr>
        <w:numPr>
          <w:ilvl w:val="0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Ukončenie a diskusia v pléne  </w:t>
      </w:r>
    </w:p>
    <w:p w:rsidR="003203D0" w:rsidRPr="004B08F5" w:rsidRDefault="003203D0" w:rsidP="004B08F5">
      <w:pPr>
        <w:numPr>
          <w:ilvl w:val="1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</w:rPr>
        <w:t xml:space="preserve">Hovorca každej skupiny ukončí a odprezentujte mapovanie </w:t>
      </w:r>
      <w:r w:rsidRPr="004B08F5">
        <w:rPr>
          <w:rFonts w:ascii="Verdana" w:hAnsi="Verdana"/>
          <w:i/>
          <w:color w:val="215868"/>
        </w:rPr>
        <w:t xml:space="preserve">(v prípade individuálneho mapovania sú 3-4 účastníci požiadaní o prezentáciu svojej mapy). </w:t>
      </w:r>
      <w:r w:rsidRPr="004B08F5">
        <w:rPr>
          <w:rFonts w:ascii="Verdana" w:hAnsi="Verdana"/>
        </w:rPr>
        <w:t xml:space="preserve"> </w:t>
      </w:r>
    </w:p>
    <w:p w:rsidR="003203D0" w:rsidRPr="004B08F5" w:rsidRDefault="003203D0" w:rsidP="004B08F5">
      <w:pPr>
        <w:numPr>
          <w:ilvl w:val="1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</w:rPr>
        <w:t xml:space="preserve">Diskusia.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sz w:val="24"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right="64" w:hanging="10"/>
        <w:jc w:val="both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12: </w:t>
      </w:r>
      <w:r w:rsidRPr="004B08F5">
        <w:rPr>
          <w:rFonts w:ascii="Verdana" w:hAnsi="Verdana"/>
        </w:rPr>
        <w:t xml:space="preserve">Poďakovanie a otázky.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 </w:t>
      </w:r>
    </w:p>
    <w:p w:rsidR="003203D0" w:rsidRPr="004B08F5" w:rsidRDefault="003203D0" w:rsidP="004B08F5">
      <w:pPr>
        <w:spacing w:after="0" w:line="240" w:lineRule="auto"/>
        <w:ind w:left="-5" w:hanging="10"/>
        <w:rPr>
          <w:rFonts w:ascii="Verdana" w:hAnsi="Verdana"/>
        </w:rPr>
      </w:pPr>
      <w:r w:rsidRPr="004B08F5">
        <w:rPr>
          <w:rFonts w:ascii="Verdana" w:hAnsi="Verdana"/>
          <w:b/>
        </w:rPr>
        <w:t xml:space="preserve">Snímok 13-14: </w:t>
      </w:r>
      <w:r w:rsidRPr="004B08F5">
        <w:rPr>
          <w:rFonts w:ascii="Verdana" w:hAnsi="Verdana"/>
        </w:rPr>
        <w:t xml:space="preserve">Referencie.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</w:rPr>
        <w:t xml:space="preserve"> </w:t>
      </w:r>
    </w:p>
    <w:p w:rsidR="003203D0" w:rsidRDefault="003203D0" w:rsidP="004B08F5">
      <w:pPr>
        <w:spacing w:after="0" w:line="240" w:lineRule="auto"/>
        <w:rPr>
          <w:rFonts w:ascii="Verdana" w:hAnsi="Verdana"/>
          <w:b/>
          <w:color w:val="000080"/>
          <w:sz w:val="24"/>
        </w:rPr>
      </w:pPr>
      <w:r w:rsidRPr="004B08F5">
        <w:rPr>
          <w:rFonts w:ascii="Verdana" w:hAnsi="Verdana"/>
          <w:b/>
          <w:color w:val="000080"/>
          <w:sz w:val="24"/>
        </w:rPr>
        <w:t xml:space="preserve"> </w:t>
      </w:r>
    </w:p>
    <w:p w:rsidR="003203D0" w:rsidRDefault="003203D0" w:rsidP="004B08F5">
      <w:pPr>
        <w:spacing w:after="0" w:line="240" w:lineRule="auto"/>
        <w:rPr>
          <w:rFonts w:ascii="Verdana" w:hAnsi="Verdana"/>
          <w:b/>
          <w:color w:val="000080"/>
          <w:sz w:val="24"/>
        </w:rPr>
      </w:pPr>
    </w:p>
    <w:p w:rsidR="003203D0" w:rsidRDefault="003203D0" w:rsidP="004B08F5">
      <w:pPr>
        <w:spacing w:after="0" w:line="240" w:lineRule="auto"/>
        <w:rPr>
          <w:rFonts w:ascii="Verdana" w:hAnsi="Verdana"/>
          <w:b/>
          <w:color w:val="000080"/>
          <w:sz w:val="24"/>
        </w:rPr>
      </w:pPr>
    </w:p>
    <w:p w:rsidR="003203D0" w:rsidRDefault="003203D0" w:rsidP="004B08F5">
      <w:pPr>
        <w:spacing w:after="0" w:line="240" w:lineRule="auto"/>
        <w:rPr>
          <w:rFonts w:ascii="Verdana" w:hAnsi="Verdana"/>
          <w:b/>
          <w:color w:val="000080"/>
          <w:sz w:val="24"/>
        </w:rPr>
      </w:pP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</w:p>
    <w:p w:rsidR="003203D0" w:rsidRPr="004B08F5" w:rsidRDefault="003203D0" w:rsidP="004B08F5">
      <w:pPr>
        <w:numPr>
          <w:ilvl w:val="0"/>
          <w:numId w:val="3"/>
        </w:numPr>
        <w:spacing w:after="0" w:line="240" w:lineRule="auto"/>
        <w:ind w:hanging="360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4"/>
        </w:rPr>
        <w:t xml:space="preserve">Literatúra </w:t>
      </w:r>
    </w:p>
    <w:p w:rsidR="003203D0" w:rsidRPr="004B08F5" w:rsidRDefault="003203D0" w:rsidP="004B08F5">
      <w:pPr>
        <w:spacing w:after="0" w:line="240" w:lineRule="auto"/>
        <w:ind w:left="360"/>
        <w:rPr>
          <w:rFonts w:ascii="Verdana" w:hAnsi="Verdana"/>
        </w:rPr>
      </w:pPr>
      <w:r w:rsidRPr="004B08F5">
        <w:rPr>
          <w:rFonts w:ascii="Verdana" w:hAnsi="Verdana"/>
          <w:b/>
          <w:color w:val="000080"/>
          <w:sz w:val="24"/>
        </w:rPr>
        <w:t xml:space="preserve"> </w:t>
      </w:r>
    </w:p>
    <w:p w:rsidR="003203D0" w:rsidRPr="004B08F5" w:rsidRDefault="003203D0" w:rsidP="004B08F5">
      <w:pPr>
        <w:pStyle w:val="Heading2"/>
        <w:numPr>
          <w:ilvl w:val="0"/>
          <w:numId w:val="0"/>
        </w:numPr>
        <w:spacing w:line="240" w:lineRule="auto"/>
        <w:ind w:left="-5"/>
        <w:rPr>
          <w:rFonts w:ascii="Verdana" w:hAnsi="Verdana"/>
        </w:rPr>
      </w:pPr>
      <w:r w:rsidRPr="004B08F5">
        <w:rPr>
          <w:rFonts w:ascii="Verdana" w:hAnsi="Verdana"/>
        </w:rPr>
        <w:t xml:space="preserve">Odporúčaná literatúra </w:t>
      </w:r>
    </w:p>
    <w:p w:rsidR="003203D0" w:rsidRPr="004B08F5" w:rsidRDefault="003203D0" w:rsidP="004B08F5">
      <w:pPr>
        <w:numPr>
          <w:ilvl w:val="0"/>
          <w:numId w:val="8"/>
        </w:numPr>
        <w:spacing w:after="0" w:line="240" w:lineRule="auto"/>
        <w:ind w:right="67"/>
        <w:rPr>
          <w:rFonts w:ascii="Verdana" w:hAnsi="Verdana"/>
        </w:rPr>
      </w:pPr>
      <w:r w:rsidRPr="004B08F5">
        <w:rPr>
          <w:rFonts w:ascii="Verdana" w:hAnsi="Verdana"/>
          <w:sz w:val="20"/>
        </w:rPr>
        <w:t xml:space="preserve">CHAFEA, Výkonná agentúra pre spotrebiteľov, zdravie a potraviny, Európska komisia. Stratégie nerovností v oblasti zdravia v Európskej únii. Konečná verzia. Programy EÚ v oblasti zdravia na posilnenie solidarity a znižovanie nerovností v oblasti zdravia v Európskej únii. Luxembursko: Európska únia, 2014. </w:t>
      </w:r>
      <w:hyperlink r:id="rId34">
        <w:r w:rsidRPr="004B08F5">
          <w:rPr>
            <w:rFonts w:ascii="Verdana" w:hAnsi="Verdana"/>
            <w:color w:val="0000FF"/>
            <w:sz w:val="20"/>
            <w:u w:val="single" w:color="0000FF"/>
          </w:rPr>
          <w:t>http://ec.europa.eu/chafea/documents/health/health</w:t>
        </w:r>
      </w:hyperlink>
      <w:hyperlink r:id="rId35">
        <w:r w:rsidRPr="004B08F5">
          <w:rPr>
            <w:rFonts w:ascii="Verdana" w:hAnsi="Verdana"/>
            <w:color w:val="0000FF"/>
            <w:sz w:val="20"/>
            <w:u w:val="single" w:color="0000FF"/>
          </w:rPr>
          <w:t>-</w:t>
        </w:r>
      </w:hyperlink>
      <w:hyperlink r:id="rId36">
        <w:r w:rsidRPr="004B08F5">
          <w:rPr>
            <w:rFonts w:ascii="Verdana" w:hAnsi="Verdana"/>
            <w:color w:val="0000FF"/>
            <w:sz w:val="20"/>
            <w:u w:val="single" w:color="0000FF"/>
          </w:rPr>
          <w:t>inequality</w:t>
        </w:r>
      </w:hyperlink>
      <w:hyperlink r:id="rId37">
        <w:r w:rsidRPr="004B08F5">
          <w:rPr>
            <w:rFonts w:ascii="Verdana" w:hAnsi="Verdana"/>
            <w:color w:val="0000FF"/>
            <w:sz w:val="20"/>
            <w:u w:val="single" w:color="0000FF"/>
          </w:rPr>
          <w:t>-</w:t>
        </w:r>
      </w:hyperlink>
      <w:hyperlink r:id="rId38">
        <w:r w:rsidRPr="004B08F5">
          <w:rPr>
            <w:rFonts w:ascii="Verdana" w:hAnsi="Verdana"/>
            <w:color w:val="0000FF"/>
            <w:sz w:val="20"/>
            <w:u w:val="single" w:color="0000FF"/>
          </w:rPr>
          <w:t>brochure_en.pdf</w:t>
        </w:r>
      </w:hyperlink>
      <w:hyperlink r:id="rId39">
        <w:r w:rsidRPr="004B08F5">
          <w:rPr>
            <w:rFonts w:ascii="Verdana" w:hAnsi="Verdana"/>
            <w:sz w:val="20"/>
          </w:rPr>
          <w:t xml:space="preserve"> </w:t>
        </w:r>
      </w:hyperlink>
      <w:r w:rsidRPr="004B08F5">
        <w:rPr>
          <w:rFonts w:ascii="Verdana" w:hAnsi="Verdana"/>
          <w:sz w:val="20"/>
        </w:rPr>
        <w:t xml:space="preserve"> (obnovené: 5. marca 2015).  </w:t>
      </w:r>
    </w:p>
    <w:p w:rsidR="003203D0" w:rsidRPr="004B08F5" w:rsidRDefault="003203D0" w:rsidP="004B08F5">
      <w:pPr>
        <w:numPr>
          <w:ilvl w:val="0"/>
          <w:numId w:val="8"/>
        </w:numPr>
        <w:spacing w:after="0" w:line="240" w:lineRule="auto"/>
        <w:ind w:right="67"/>
        <w:rPr>
          <w:rFonts w:ascii="Verdana" w:hAnsi="Verdana"/>
        </w:rPr>
      </w:pPr>
      <w:r w:rsidRPr="004B08F5">
        <w:rPr>
          <w:rFonts w:ascii="Verdana" w:hAnsi="Verdana"/>
          <w:sz w:val="20"/>
        </w:rPr>
        <w:t xml:space="preserve">Ståhl T, Wismar M, Ollila E, Lahtinen E, Leppo K. Ministerstvo sociálnych vecí a zdravotníctva, Európske stredisko pre monitorovanie zdravotných systémov a stratégií, 2006, str. 5. </w:t>
      </w:r>
      <w:hyperlink r:id="rId40">
        <w:r w:rsidRPr="004B08F5">
          <w:rPr>
            <w:rFonts w:ascii="Verdana" w:hAnsi="Verdana"/>
            <w:color w:val="0000FF"/>
            <w:sz w:val="20"/>
            <w:u w:val="single" w:color="0000FF"/>
          </w:rPr>
          <w:t>http://ec.europa.eu/health/ph_information/documents/health_in_all_policies.pdf</w:t>
        </w:r>
      </w:hyperlink>
      <w:hyperlink r:id="rId41">
        <w:r w:rsidRPr="004B08F5">
          <w:rPr>
            <w:rFonts w:ascii="Verdana" w:hAnsi="Verdana"/>
            <w:sz w:val="20"/>
          </w:rPr>
          <w:t xml:space="preserve"> </w:t>
        </w:r>
      </w:hyperlink>
      <w:r w:rsidRPr="004B08F5">
        <w:rPr>
          <w:rFonts w:ascii="Verdana" w:hAnsi="Verdana"/>
          <w:sz w:val="20"/>
        </w:rPr>
        <w:t xml:space="preserve"> (obnovené: 5. marca 2015).  </w:t>
      </w:r>
    </w:p>
    <w:p w:rsidR="003203D0" w:rsidRPr="004B08F5" w:rsidRDefault="003203D0" w:rsidP="004B08F5">
      <w:pPr>
        <w:numPr>
          <w:ilvl w:val="0"/>
          <w:numId w:val="8"/>
        </w:numPr>
        <w:spacing w:after="0" w:line="240" w:lineRule="auto"/>
        <w:ind w:right="67"/>
        <w:rPr>
          <w:rFonts w:ascii="Verdana" w:hAnsi="Verdana"/>
        </w:rPr>
      </w:pPr>
      <w:r w:rsidRPr="004B08F5">
        <w:rPr>
          <w:rFonts w:ascii="Verdana" w:hAnsi="Verdana"/>
          <w:sz w:val="20"/>
        </w:rPr>
        <w:t xml:space="preserve">WHO, Svetová zdravotnícka organizácia, Agentúra verejného zdravia Kanada. Rovnoprávnosť v oblasti zdravia prostredníctvom medzisektorového opatrenia: Analýza štúdií v 18 krajinách. WHO, Agentúra verejného zdravia Kanada, 2008.  </w:t>
      </w:r>
      <w:hyperlink r:id="rId42">
        <w:r w:rsidRPr="004B08F5">
          <w:rPr>
            <w:rFonts w:ascii="Verdana" w:hAnsi="Verdana"/>
            <w:color w:val="0000FF"/>
            <w:sz w:val="20"/>
            <w:u w:val="single" w:color="0000FF"/>
          </w:rPr>
          <w:t>http://www.who.int/social_determinants/resources/health_equity_isa_2008_en.pdf?ua=1</w:t>
        </w:r>
      </w:hyperlink>
      <w:hyperlink r:id="rId43">
        <w:r w:rsidRPr="004B08F5">
          <w:rPr>
            <w:rFonts w:ascii="Verdana" w:hAnsi="Verdana"/>
            <w:sz w:val="20"/>
          </w:rPr>
          <w:t xml:space="preserve"> </w:t>
        </w:r>
      </w:hyperlink>
      <w:r w:rsidRPr="004B08F5">
        <w:rPr>
          <w:rFonts w:ascii="Verdana" w:hAnsi="Verdana"/>
          <w:sz w:val="20"/>
        </w:rPr>
        <w:t xml:space="preserve"> (obnovené: 5. marca 2015). 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 </w:t>
      </w:r>
    </w:p>
    <w:p w:rsidR="003203D0" w:rsidRPr="004B08F5" w:rsidRDefault="003203D0" w:rsidP="004B08F5">
      <w:pPr>
        <w:spacing w:after="0" w:line="240" w:lineRule="auto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 </w:t>
      </w:r>
    </w:p>
    <w:p w:rsidR="003203D0" w:rsidRPr="004B08F5" w:rsidRDefault="003203D0" w:rsidP="004B08F5">
      <w:pPr>
        <w:pStyle w:val="Heading2"/>
        <w:numPr>
          <w:ilvl w:val="0"/>
          <w:numId w:val="0"/>
        </w:numPr>
        <w:spacing w:line="240" w:lineRule="auto"/>
        <w:ind w:left="-5"/>
        <w:rPr>
          <w:rFonts w:ascii="Verdana" w:hAnsi="Verdana"/>
        </w:rPr>
      </w:pPr>
      <w:r w:rsidRPr="004B08F5">
        <w:rPr>
          <w:rFonts w:ascii="Verdana" w:hAnsi="Verdana"/>
        </w:rPr>
        <w:t xml:space="preserve">Doplnková literatúra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CIMAS, Observatorio Internacional de Ciudadanía y Medio Ambiente Sostenible. Metodologías Participativas. Manual, 2009.  </w:t>
      </w:r>
      <w:hyperlink r:id="rId44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http://www.redcimas.org/wordpress/wp</w:t>
        </w:r>
      </w:hyperlink>
      <w:hyperlink r:id="rId45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46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content/uploads/2012/09/manual_2010.pdf</w:t>
        </w:r>
      </w:hyperlink>
      <w:hyperlink r:id="rId47">
        <w:r w:rsidRPr="004B08F5">
          <w:rPr>
            <w:rFonts w:ascii="Verdana" w:hAnsi="Verdana"/>
            <w:sz w:val="20"/>
            <w:szCs w:val="20"/>
          </w:rPr>
          <w:t xml:space="preserve"> (</w:t>
        </w:r>
      </w:hyperlink>
      <w:r w:rsidRPr="004B08F5">
        <w:rPr>
          <w:rFonts w:ascii="Verdana" w:hAnsi="Verdana"/>
          <w:sz w:val="20"/>
          <w:szCs w:val="20"/>
        </w:rPr>
        <w:t xml:space="preserve">obnovené: 5. marca 2015). 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4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Komunitné nástroje. Časť 3. Náš model praxe: Budovanie kapacity pre komunitu a zmena v systéme. </w:t>
      </w:r>
      <w:hyperlink r:id="rId48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http://ctb.ku.edu/en/table</w:t>
        </w:r>
      </w:hyperlink>
      <w:hyperlink r:id="rId49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50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of</w:t>
        </w:r>
      </w:hyperlink>
      <w:hyperlink r:id="rId51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52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contents/overview/model</w:t>
        </w:r>
      </w:hyperlink>
      <w:hyperlink r:id="rId53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54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for</w:t>
        </w:r>
      </w:hyperlink>
      <w:hyperlink r:id="rId55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56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community</w:t>
        </w:r>
      </w:hyperlink>
      <w:hyperlink r:id="rId57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58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change</w:t>
        </w:r>
      </w:hyperlink>
      <w:hyperlink r:id="rId59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60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and</w:t>
        </w:r>
      </w:hyperlink>
      <w:hyperlink r:id="rId61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62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improvement</w:t>
        </w:r>
      </w:hyperlink>
      <w:hyperlink r:id="rId63">
        <w:r w:rsidRPr="004B08F5">
          <w:rPr>
            <w:rFonts w:ascii="Verdana" w:hAnsi="Verdana"/>
            <w:sz w:val="20"/>
            <w:szCs w:val="20"/>
          </w:rPr>
          <w:t xml:space="preserve"> </w:t>
        </w:r>
      </w:hyperlink>
      <w:r w:rsidRPr="004B08F5">
        <w:rPr>
          <w:rFonts w:ascii="Verdana" w:hAnsi="Verdana"/>
          <w:sz w:val="20"/>
          <w:szCs w:val="20"/>
        </w:rPr>
        <w:t xml:space="preserve">(obnovené: 5. marca 2015)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4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Ingleby D. Etnicita, Migrácia a ‘sociálne determinanty zdravia’. Psychosociálna intervencia 2012; 21(3):331-341.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Marmot M (vodca konzorcia). Nerovnosti v oblasti zdravia v EÚ. Záverečná správa konzorcia. Európska únia. 2013. </w:t>
      </w:r>
      <w:hyperlink r:id="rId64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http://ec.europa.eu/health/social_determinants/docs/healthinequalitiesineu_2013_en.pdf</w:t>
        </w:r>
      </w:hyperlink>
      <w:hyperlink r:id="rId65">
        <w:r w:rsidRPr="004B08F5">
          <w:rPr>
            <w:rFonts w:ascii="Verdana" w:hAnsi="Verdana"/>
            <w:sz w:val="20"/>
            <w:szCs w:val="20"/>
          </w:rPr>
          <w:t xml:space="preserve"> </w:t>
        </w:r>
      </w:hyperlink>
      <w:r w:rsidRPr="004B08F5">
        <w:rPr>
          <w:rFonts w:ascii="Verdana" w:hAnsi="Verdana"/>
          <w:sz w:val="20"/>
          <w:szCs w:val="20"/>
        </w:rPr>
        <w:t xml:space="preserve">(obnovené: 5. marca 2015). 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McQueen DV, Wismar M, Lin V, Jones CM, Davies M. Medzisektorový dohľad nad zdravím vo všetkých stratégiách. Štruktúry, stratégie a skúsenosti. Pozorovanná séria štúdií 26.Kodaň: WHO, Svetová zdravotnícka organizácia, Európske pozorovanie zdravotných systémov a stratégií, 2012.  </w:t>
      </w:r>
      <w:hyperlink r:id="rId66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http://www.euro.who.int/__data/assets/pdf_file/0005/171707/Intersectoral</w:t>
        </w:r>
      </w:hyperlink>
      <w:hyperlink r:id="rId67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68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governance</w:t>
        </w:r>
      </w:hyperlink>
      <w:hyperlink r:id="rId69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70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for</w:t>
        </w:r>
      </w:hyperlink>
      <w:hyperlink r:id="rId71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72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health</w:t>
        </w:r>
      </w:hyperlink>
      <w:hyperlink r:id="rId73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74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in</w:t>
        </w:r>
      </w:hyperlink>
      <w:hyperlink r:id="rId75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-</w:t>
        </w:r>
      </w:hyperlink>
      <w:hyperlink r:id="rId76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all</w:t>
        </w:r>
      </w:hyperlink>
      <w:hyperlink r:id="rId77"/>
      <w:hyperlink r:id="rId78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policies.pdf</w:t>
        </w:r>
      </w:hyperlink>
      <w:hyperlink r:id="rId79">
        <w:r w:rsidRPr="004B08F5">
          <w:rPr>
            <w:rFonts w:ascii="Verdana" w:hAnsi="Verdana"/>
            <w:sz w:val="20"/>
            <w:szCs w:val="20"/>
          </w:rPr>
          <w:t xml:space="preserve"> (</w:t>
        </w:r>
      </w:hyperlink>
      <w:r w:rsidRPr="004B08F5">
        <w:rPr>
          <w:rFonts w:ascii="Verdana" w:hAnsi="Verdana"/>
          <w:sz w:val="20"/>
          <w:szCs w:val="20"/>
        </w:rPr>
        <w:t xml:space="preserve">obnovené: 5. marca 2015). 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Ministerstvo zdravia a sociálnej politiky v Španielsku. Pohyb vpred v rovnoprávnosti v oblasti zdravia: Monitorovanie sociálnych faktorov ovplyvňujúcich zdravie a znižovanie nerovností v oblasti zdravia. Nezávislý znalecký posudok zadaný cez Španielske predsedníctvo EÚ. Madrid: Ministerstvo zdravia a sociálnej politiky v Španielsku, 2010.  </w:t>
      </w:r>
      <w:hyperlink r:id="rId80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 xml:space="preserve">https://www.msssi.gob.es/profesionales/saludPublica/prevPromocion/promocion/desigualdadSalud/PresidenciaUE </w:t>
        </w:r>
      </w:hyperlink>
      <w:hyperlink r:id="rId81">
        <w:r w:rsidRPr="004B08F5">
          <w:rPr>
            <w:rFonts w:ascii="Verdana" w:hAnsi="Verdana"/>
            <w:color w:val="0000FF"/>
            <w:sz w:val="20"/>
            <w:szCs w:val="20"/>
            <w:u w:val="single" w:color="0000FF"/>
          </w:rPr>
          <w:t>_2010/conferenciaExpertos/docs/haciaLaEquidadEnSalud_en.pdf</w:t>
        </w:r>
      </w:hyperlink>
      <w:hyperlink r:id="rId82">
        <w:r w:rsidRPr="004B08F5">
          <w:rPr>
            <w:rFonts w:ascii="Verdana" w:hAnsi="Verdana"/>
            <w:sz w:val="20"/>
            <w:szCs w:val="20"/>
          </w:rPr>
          <w:t xml:space="preserve"> (</w:t>
        </w:r>
      </w:hyperlink>
      <w:r w:rsidRPr="004B08F5">
        <w:rPr>
          <w:rFonts w:ascii="Verdana" w:hAnsi="Verdana"/>
          <w:sz w:val="20"/>
          <w:szCs w:val="20"/>
        </w:rPr>
        <w:t xml:space="preserve">obnovené: 5. marca 2015).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Red Isir, Red Inmigración y Salud. Cuadernos audiovisuales para formación de profesionales en habilidades de comunicación con poblaciones inmigrantes. [DVD].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  <w:sz w:val="20"/>
          <w:szCs w:val="20"/>
        </w:rPr>
      </w:pPr>
      <w:r w:rsidRPr="004B08F5">
        <w:rPr>
          <w:rFonts w:ascii="Verdana" w:hAnsi="Verdana"/>
          <w:sz w:val="20"/>
          <w:szCs w:val="20"/>
        </w:rPr>
        <w:t xml:space="preserve">Risler J, Ares P. Manual de mapeo colectivo: recursos cartográficos críticos para procesos territoriales de creación colaborativa. Buenos Aires: Tinta Limón, 2013. (obnovené: 5. marca 2015).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4"/>
        <w:rPr>
          <w:rFonts w:ascii="Verdana" w:hAnsi="Verdana"/>
        </w:rPr>
      </w:pPr>
      <w:r w:rsidRPr="004B08F5">
        <w:rPr>
          <w:rFonts w:ascii="Verdana" w:hAnsi="Verdana"/>
          <w:sz w:val="20"/>
          <w:szCs w:val="20"/>
        </w:rPr>
        <w:t xml:space="preserve">Vervoordeldonk J, Dorgelo A, Timmermans H, Dimitrov P, Manolova A, Tsolova G, et al. Opatrenia pre zdravie: Znižovanie nerovností v oblasti zdravia. Situačná analýza a potreby hodnotenia v siedmich krajinách a regiónoch EÚ. Murska Sobota: Inštitút verejného zdravia, 2013.  </w:t>
      </w:r>
      <w:hyperlink r:id="rId83">
        <w:r w:rsidRPr="004B08F5">
          <w:rPr>
            <w:rFonts w:ascii="Verdana" w:hAnsi="Verdana"/>
            <w:color w:val="0000FF"/>
            <w:sz w:val="18"/>
            <w:u w:val="single" w:color="0000FF"/>
          </w:rPr>
          <w:t>http://www.action</w:t>
        </w:r>
      </w:hyperlink>
      <w:hyperlink r:id="rId84">
        <w:r w:rsidRPr="004B08F5">
          <w:rPr>
            <w:rFonts w:ascii="Verdana" w:hAnsi="Verdana"/>
            <w:color w:val="0000FF"/>
            <w:sz w:val="18"/>
            <w:u w:val="single" w:color="0000FF"/>
          </w:rPr>
          <w:t>-</w:t>
        </w:r>
      </w:hyperlink>
      <w:hyperlink r:id="rId85">
        <w:r w:rsidRPr="004B08F5">
          <w:rPr>
            <w:rFonts w:ascii="Verdana" w:hAnsi="Verdana"/>
            <w:color w:val="0000FF"/>
            <w:sz w:val="18"/>
            <w:u w:val="single" w:color="0000FF"/>
          </w:rPr>
          <w:t>for</w:t>
        </w:r>
      </w:hyperlink>
      <w:hyperlink r:id="rId86"/>
      <w:hyperlink r:id="rId87">
        <w:r w:rsidRPr="004B08F5">
          <w:rPr>
            <w:rFonts w:ascii="Verdana" w:hAnsi="Verdana"/>
            <w:color w:val="0000FF"/>
            <w:sz w:val="18"/>
            <w:u w:val="single" w:color="0000FF"/>
          </w:rPr>
          <w:t>health.eu/sites/default/files/files/Situation%20Analysis%20and%20Needs%20Assessment%20in%20Seven%20EU</w:t>
        </w:r>
      </w:hyperlink>
      <w:hyperlink r:id="rId88"/>
      <w:hyperlink r:id="rId89">
        <w:r w:rsidRPr="004B08F5">
          <w:rPr>
            <w:rFonts w:ascii="Verdana" w:hAnsi="Verdana"/>
            <w:color w:val="0000FF"/>
            <w:sz w:val="18"/>
            <w:u w:val="single" w:color="0000FF"/>
          </w:rPr>
          <w:t>Countries%20and%20Regions.pdf</w:t>
        </w:r>
      </w:hyperlink>
      <w:hyperlink r:id="rId90">
        <w:r w:rsidRPr="004B08F5">
          <w:rPr>
            <w:rFonts w:ascii="Verdana" w:hAnsi="Verdana"/>
            <w:sz w:val="18"/>
          </w:rPr>
          <w:t xml:space="preserve"> (</w:t>
        </w:r>
      </w:hyperlink>
      <w:r w:rsidRPr="004B08F5">
        <w:rPr>
          <w:rFonts w:ascii="Verdana" w:hAnsi="Verdana"/>
          <w:sz w:val="18"/>
        </w:rPr>
        <w:t xml:space="preserve">obnovené: 18. decembra 2014). 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4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WHA, Snem Svetového zdravia. Zdravie migrantov. Správa sekretariátu, 2008a.  </w:t>
      </w:r>
      <w:hyperlink r:id="rId91">
        <w:r w:rsidRPr="004B08F5">
          <w:rPr>
            <w:rFonts w:ascii="Verdana" w:hAnsi="Verdana"/>
            <w:color w:val="0000FF"/>
            <w:sz w:val="18"/>
            <w:u w:val="single" w:color="0000FF"/>
          </w:rPr>
          <w:t>http://apps.who.int/iris/bitstream/10665/23467/1/A61_12</w:t>
        </w:r>
      </w:hyperlink>
      <w:hyperlink r:id="rId92">
        <w:r w:rsidRPr="004B08F5">
          <w:rPr>
            <w:rFonts w:ascii="Verdana" w:hAnsi="Verdana"/>
            <w:color w:val="0000FF"/>
            <w:sz w:val="18"/>
            <w:u w:val="single" w:color="0000FF"/>
          </w:rPr>
          <w:t>-</w:t>
        </w:r>
      </w:hyperlink>
      <w:hyperlink r:id="rId93">
        <w:r w:rsidRPr="004B08F5">
          <w:rPr>
            <w:rFonts w:ascii="Verdana" w:hAnsi="Verdana"/>
            <w:color w:val="0000FF"/>
            <w:sz w:val="18"/>
            <w:u w:val="single" w:color="0000FF"/>
          </w:rPr>
          <w:t>en.pdf?ua=1</w:t>
        </w:r>
      </w:hyperlink>
      <w:hyperlink r:id="rId94">
        <w:r w:rsidRPr="004B08F5">
          <w:rPr>
            <w:rFonts w:ascii="Verdana" w:hAnsi="Verdana"/>
            <w:sz w:val="18"/>
          </w:rPr>
          <w:t xml:space="preserve"> (</w:t>
        </w:r>
      </w:hyperlink>
      <w:r w:rsidRPr="004B08F5">
        <w:rPr>
          <w:rFonts w:ascii="Verdana" w:hAnsi="Verdana"/>
          <w:sz w:val="18"/>
        </w:rPr>
        <w:t xml:space="preserve">vyhľadané: 5. marca 2015).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4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WHA, Snem Svetového zdravia. Zdravie migrantov. WHA61.17, 24. máj 2008. WHA, 2008b. </w:t>
      </w:r>
      <w:hyperlink r:id="rId95">
        <w:r w:rsidRPr="004B08F5">
          <w:rPr>
            <w:rFonts w:ascii="Verdana" w:hAnsi="Verdana"/>
            <w:color w:val="0000FF"/>
            <w:sz w:val="18"/>
            <w:u w:val="single" w:color="0000FF"/>
          </w:rPr>
          <w:t>http://apps.who.int/gb/ebwha/pdf_files/A61/A61_R17</w:t>
        </w:r>
      </w:hyperlink>
      <w:hyperlink r:id="rId96">
        <w:r w:rsidRPr="004B08F5">
          <w:rPr>
            <w:rFonts w:ascii="Verdana" w:hAnsi="Verdana"/>
            <w:color w:val="0000FF"/>
            <w:sz w:val="18"/>
            <w:u w:val="single" w:color="0000FF"/>
          </w:rPr>
          <w:t>-</w:t>
        </w:r>
      </w:hyperlink>
      <w:hyperlink r:id="rId97">
        <w:r w:rsidRPr="004B08F5">
          <w:rPr>
            <w:rFonts w:ascii="Verdana" w:hAnsi="Verdana"/>
            <w:color w:val="0000FF"/>
            <w:sz w:val="18"/>
            <w:u w:val="single" w:color="0000FF"/>
          </w:rPr>
          <w:t>en.pdf</w:t>
        </w:r>
      </w:hyperlink>
      <w:hyperlink r:id="rId98">
        <w:r w:rsidRPr="004B08F5">
          <w:rPr>
            <w:rFonts w:ascii="Verdana" w:hAnsi="Verdana"/>
            <w:sz w:val="18"/>
          </w:rPr>
          <w:t xml:space="preserve"> (</w:t>
        </w:r>
      </w:hyperlink>
      <w:r w:rsidRPr="004B08F5">
        <w:rPr>
          <w:rFonts w:ascii="Verdana" w:hAnsi="Verdana"/>
          <w:sz w:val="18"/>
        </w:rPr>
        <w:t xml:space="preserve">obnovené: 5. marca 2015).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WHO, Svetová zdravotnícka organizácia. Abstraktný rámec pre činnosti týkajúce sa sociálnych determinantov v oblasti zdravia. Séria diskusných materiálov na tému sociálne determinanty v oblasti zdravia 2. Ženeva: WHO, 2010.  </w:t>
      </w:r>
      <w:hyperlink r:id="rId99">
        <w:r w:rsidRPr="004B08F5">
          <w:rPr>
            <w:rFonts w:ascii="Verdana" w:hAnsi="Verdana"/>
            <w:color w:val="0000FF"/>
            <w:sz w:val="18"/>
            <w:u w:val="single" w:color="0000FF"/>
          </w:rPr>
          <w:t>http://www.who.int/sdhconference/resources/ConceptualframeworkforactiononSDH_eng.pdf</w:t>
        </w:r>
      </w:hyperlink>
      <w:hyperlink r:id="rId100">
        <w:r w:rsidRPr="004B08F5">
          <w:rPr>
            <w:rFonts w:ascii="Verdana" w:hAnsi="Verdana"/>
            <w:sz w:val="18"/>
          </w:rPr>
          <w:t xml:space="preserve">  </w:t>
        </w:r>
      </w:hyperlink>
      <w:r w:rsidRPr="004B08F5">
        <w:rPr>
          <w:rFonts w:ascii="Verdana" w:hAnsi="Verdana"/>
          <w:sz w:val="18"/>
        </w:rPr>
        <w:t xml:space="preserve">(obnovené: 5. marca 2015).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WHO, Svetová zdravotnícka organizácia. Komisia sociálnych determinantov v oblasti zdravia. Uzavretie medzery v generáciách. Rovnosť v oblasti zdravia prostredníctvom opatrení v oblasti sociálnych determinantov zdravia. Ženeva: WHO, 2008.  </w:t>
      </w:r>
      <w:hyperlink r:id="rId101">
        <w:r w:rsidRPr="004B08F5">
          <w:rPr>
            <w:rFonts w:ascii="Verdana" w:hAnsi="Verdana"/>
            <w:color w:val="0000FF"/>
            <w:sz w:val="18"/>
            <w:u w:val="single" w:color="0000FF"/>
          </w:rPr>
          <w:t>http://whqlibdoc.who.int/publications/2008/9789241563703_eng.pdf</w:t>
        </w:r>
      </w:hyperlink>
      <w:hyperlink r:id="rId102">
        <w:r w:rsidRPr="004B08F5">
          <w:rPr>
            <w:rFonts w:ascii="Verdana" w:hAnsi="Verdana"/>
            <w:sz w:val="18"/>
          </w:rPr>
          <w:t xml:space="preserve"> </w:t>
        </w:r>
      </w:hyperlink>
      <w:hyperlink r:id="rId103">
        <w:r w:rsidRPr="004B08F5">
          <w:rPr>
            <w:rFonts w:ascii="Verdana" w:hAnsi="Verdana"/>
            <w:sz w:val="18"/>
          </w:rPr>
          <w:t>(</w:t>
        </w:r>
      </w:hyperlink>
      <w:r w:rsidRPr="004B08F5">
        <w:rPr>
          <w:rFonts w:ascii="Verdana" w:hAnsi="Verdana"/>
          <w:sz w:val="18"/>
        </w:rPr>
        <w:t xml:space="preserve">obnovené: 5. marca 2015). 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WHO, Svetová zdravotnícka organizácia. Diskusný materiál pre medzisektorové pôsobenie v oblasti zdravia: Cesta na vytváranie politiky s cieľom vykonávať efektívnu a udržateľnú stratégiu v oblasti zdravia. Prvá svetová konferencia ministrov o zdravom životnom štýle a kontrole neprenosných chorôb, Moskva, 28.-29. apríl 2011.  </w:t>
      </w:r>
      <w:hyperlink r:id="rId104">
        <w:r w:rsidRPr="004B08F5">
          <w:rPr>
            <w:rFonts w:ascii="Verdana" w:hAnsi="Verdana"/>
            <w:color w:val="0000FF"/>
            <w:sz w:val="18"/>
            <w:u w:val="single" w:color="0000FF"/>
          </w:rPr>
          <w:t>http://www.who.int/nmh/publications/ncds_policy_makers_to_implement_intersectoral_action.pdf</w:t>
        </w:r>
      </w:hyperlink>
      <w:hyperlink r:id="rId105">
        <w:r w:rsidRPr="004B08F5">
          <w:rPr>
            <w:rFonts w:ascii="Verdana" w:hAnsi="Verdana"/>
            <w:sz w:val="18"/>
          </w:rPr>
          <w:t xml:space="preserve"> </w:t>
        </w:r>
      </w:hyperlink>
      <w:r w:rsidRPr="004B08F5">
        <w:rPr>
          <w:rFonts w:ascii="Verdana" w:hAnsi="Verdana"/>
          <w:sz w:val="18"/>
        </w:rPr>
        <w:t xml:space="preserve"> (obnovené: 5. marca 2015).  </w:t>
      </w:r>
    </w:p>
    <w:p w:rsidR="003203D0" w:rsidRPr="004B08F5" w:rsidRDefault="003203D0" w:rsidP="004B08F5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right="65"/>
        <w:rPr>
          <w:rFonts w:ascii="Verdana" w:hAnsi="Verdana"/>
        </w:rPr>
      </w:pPr>
      <w:r w:rsidRPr="004B08F5">
        <w:rPr>
          <w:rFonts w:ascii="Verdana" w:hAnsi="Verdana"/>
          <w:sz w:val="18"/>
        </w:rPr>
        <w:t xml:space="preserve">WHO, Svetová zdravotnícka organizácia. Zdravie migrantov: Cesta vpred – správa o globálnej konzultácii. Madrid, Španielsko, 3.-5. marca 2010.  </w:t>
      </w:r>
      <w:hyperlink r:id="rId106">
        <w:r w:rsidRPr="004B08F5">
          <w:rPr>
            <w:rFonts w:ascii="Verdana" w:hAnsi="Verdana"/>
            <w:color w:val="0000FF"/>
            <w:sz w:val="18"/>
            <w:u w:val="single" w:color="0000FF"/>
          </w:rPr>
          <w:t>http://www.who.int/hac/events/consultation_report_health_migrants_colour_web.pdf</w:t>
        </w:r>
      </w:hyperlink>
      <w:hyperlink r:id="rId107">
        <w:r w:rsidRPr="004B08F5">
          <w:rPr>
            <w:rFonts w:ascii="Verdana" w:hAnsi="Verdana"/>
            <w:sz w:val="18"/>
          </w:rPr>
          <w:t xml:space="preserve">  </w:t>
        </w:r>
      </w:hyperlink>
      <w:r w:rsidRPr="004B08F5">
        <w:rPr>
          <w:rFonts w:ascii="Verdana" w:hAnsi="Verdana"/>
          <w:sz w:val="18"/>
        </w:rPr>
        <w:t xml:space="preserve">(obnovené: 5. marca 2015). </w:t>
      </w:r>
    </w:p>
    <w:p w:rsidR="003203D0" w:rsidRPr="004B08F5" w:rsidRDefault="003203D0" w:rsidP="004B08F5">
      <w:pPr>
        <w:spacing w:after="0" w:line="240" w:lineRule="auto"/>
        <w:ind w:left="348" w:firstLine="60"/>
        <w:rPr>
          <w:rFonts w:ascii="Verdana" w:hAnsi="Verdana"/>
        </w:rPr>
      </w:pPr>
    </w:p>
    <w:p w:rsidR="003203D0" w:rsidRPr="004B08F5" w:rsidRDefault="003203D0" w:rsidP="004B08F5">
      <w:pPr>
        <w:spacing w:after="0" w:line="240" w:lineRule="auto"/>
        <w:ind w:left="-360" w:firstLine="75"/>
        <w:rPr>
          <w:rFonts w:ascii="Verdana" w:hAnsi="Verdana"/>
        </w:rPr>
      </w:pPr>
    </w:p>
    <w:p w:rsidR="003203D0" w:rsidRPr="004B08F5" w:rsidRDefault="003203D0" w:rsidP="004B08F5">
      <w:pPr>
        <w:spacing w:after="0" w:line="240" w:lineRule="auto"/>
        <w:ind w:left="-360" w:right="4251" w:firstLine="75"/>
        <w:rPr>
          <w:rFonts w:ascii="Verdana" w:hAnsi="Verdana"/>
        </w:rPr>
      </w:pPr>
    </w:p>
    <w:p w:rsidR="003203D0" w:rsidRPr="004B08F5" w:rsidRDefault="003203D0" w:rsidP="004B08F5">
      <w:pPr>
        <w:rPr>
          <w:rFonts w:ascii="Verdana" w:hAnsi="Verdana"/>
          <w:sz w:val="18"/>
        </w:rPr>
      </w:pPr>
    </w:p>
    <w:sectPr w:rsidR="003203D0" w:rsidRPr="004B08F5" w:rsidSect="00126405">
      <w:pgSz w:w="11899" w:h="16841"/>
      <w:pgMar w:top="1421" w:right="1619" w:bottom="1416" w:left="1702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D0" w:rsidRDefault="003203D0">
      <w:pPr>
        <w:spacing w:after="0" w:line="240" w:lineRule="auto"/>
      </w:pPr>
      <w:r>
        <w:separator/>
      </w:r>
    </w:p>
  </w:endnote>
  <w:endnote w:type="continuationSeparator" w:id="0">
    <w:p w:rsidR="003203D0" w:rsidRDefault="0032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D0" w:rsidRDefault="003203D0">
    <w:pPr>
      <w:spacing w:after="255"/>
    </w:pPr>
    <w:r>
      <w:rPr>
        <w:noProof/>
        <w:lang w:val="es-ES" w:eastAsia="es-ES"/>
      </w:rPr>
      <w:pict>
        <v:group id="Group 18915" o:spid="_x0000_s2053" style="position:absolute;margin-left:85.05pt;margin-top:798.55pt;width:441pt;height:.75pt;z-index:251664384;mso-position-horizontal-relative:page;mso-position-vertical-relative:page" coordsize="56007,95">
          <v:shape id="Shape 18916" o:spid="_x0000_s2054" style="position:absolute;width:56007;height:0" coordsize="5600700,0" path="m,l5600700,e" filled="f" fillcolor="black">
            <v:fill opacity="0"/>
          </v:shape>
          <w10:wrap type="square" anchorx="page" anchory="page"/>
        </v:group>
      </w:pict>
    </w:r>
    <w:r>
      <w:rPr>
        <w:rFonts w:ascii="Verdana" w:hAnsi="Verdana" w:cs="Verdana"/>
        <w:color w:val="404040"/>
        <w:sz w:val="16"/>
      </w:rPr>
      <w:t xml:space="preserve"> </w:t>
    </w:r>
  </w:p>
  <w:p w:rsidR="003203D0" w:rsidRDefault="003203D0">
    <w:pPr>
      <w:spacing w:after="0"/>
    </w:pPr>
    <w:r>
      <w:rPr>
        <w:rFonts w:ascii="Verdana" w:hAnsi="Verdana" w:cs="Verdana"/>
        <w:i/>
        <w:color w:val="404040"/>
        <w:sz w:val="16"/>
      </w:rPr>
      <w:t>September, 2015</w:t>
    </w:r>
    <w:r>
      <w:rPr>
        <w:rFonts w:ascii="Verdana" w:hAnsi="Verdana" w:cs="Verdana"/>
        <w:color w:val="40404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D0" w:rsidRDefault="003203D0">
    <w:pPr>
      <w:spacing w:after="255"/>
    </w:pPr>
    <w:r>
      <w:rPr>
        <w:noProof/>
        <w:lang w:val="es-ES" w:eastAsia="es-ES"/>
      </w:rPr>
      <w:pict>
        <v:group id="Group 18875" o:spid="_x0000_s2055" style="position:absolute;margin-left:85.05pt;margin-top:798.55pt;width:441pt;height:.75pt;z-index:251666432;mso-position-horizontal-relative:page;mso-position-vertical-relative:page" coordsize="56007,95">
          <v:shape id="Shape 18876" o:spid="_x0000_s2056" style="position:absolute;width:56007;height:0" coordsize="5600700,0" path="m,l5600700,e" filled="f" fillcolor="black">
            <v:fill opacity="0"/>
          </v:shape>
          <w10:wrap type="square" anchorx="page" anchory="page"/>
        </v:group>
      </w:pict>
    </w:r>
    <w:r>
      <w:rPr>
        <w:rFonts w:ascii="Verdana" w:hAnsi="Verdana" w:cs="Verdana"/>
        <w:color w:val="404040"/>
        <w:sz w:val="16"/>
      </w:rPr>
      <w:t xml:space="preserve"> </w:t>
    </w:r>
  </w:p>
  <w:p w:rsidR="003203D0" w:rsidRDefault="003203D0">
    <w:pPr>
      <w:spacing w:after="0"/>
    </w:pPr>
    <w:r>
      <w:rPr>
        <w:rFonts w:ascii="Verdana" w:hAnsi="Verdana" w:cs="Verdana"/>
        <w:i/>
        <w:color w:val="404040"/>
        <w:sz w:val="16"/>
      </w:rPr>
      <w:t>September, 2015</w:t>
    </w:r>
    <w:r>
      <w:rPr>
        <w:rFonts w:ascii="Verdana" w:hAnsi="Verdana" w:cs="Verdana"/>
        <w:color w:val="40404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D0" w:rsidRDefault="003203D0">
      <w:pPr>
        <w:spacing w:after="0" w:line="241" w:lineRule="auto"/>
        <w:ind w:right="78"/>
        <w:jc w:val="both"/>
      </w:pPr>
      <w:r>
        <w:separator/>
      </w:r>
    </w:p>
  </w:footnote>
  <w:footnote w:type="continuationSeparator" w:id="0">
    <w:p w:rsidR="003203D0" w:rsidRDefault="003203D0">
      <w:pPr>
        <w:spacing w:after="0" w:line="241" w:lineRule="auto"/>
        <w:ind w:right="78"/>
        <w:jc w:val="both"/>
      </w:pPr>
      <w:r>
        <w:continuationSeparator/>
      </w:r>
    </w:p>
  </w:footnote>
  <w:footnote w:id="1">
    <w:p w:rsidR="003203D0" w:rsidRPr="004B08F5" w:rsidRDefault="003203D0" w:rsidP="004B08F5">
      <w:pPr>
        <w:pStyle w:val="footnotedescription"/>
        <w:spacing w:line="240" w:lineRule="auto"/>
        <w:ind w:right="78"/>
        <w:jc w:val="left"/>
        <w:rPr>
          <w:rFonts w:ascii="Verdana" w:hAnsi="Verdana"/>
          <w:sz w:val="18"/>
          <w:szCs w:val="18"/>
          <w:lang w:val="pt-BR"/>
        </w:rPr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</w:rPr>
        <w:t xml:space="preserve"> WHO, Svetová zdravotnícka organizácia, Agentúra verejného zdravia, Kanada. Rovnoprávnosť v oblasti zdravia prostredníctvom medzisektorového opatrenia: Analýza štúdií v 18 krajinách. </w:t>
      </w:r>
      <w:r w:rsidRPr="004B08F5">
        <w:rPr>
          <w:rFonts w:ascii="Verdana" w:hAnsi="Verdana"/>
          <w:sz w:val="18"/>
          <w:szCs w:val="18"/>
          <w:lang w:val="pt-BR"/>
        </w:rPr>
        <w:t xml:space="preserve">WHO, Agentúra verejného zdravia Kanada, 2008.  </w:t>
      </w:r>
    </w:p>
    <w:p w:rsidR="003203D0" w:rsidRDefault="003203D0" w:rsidP="004B08F5">
      <w:pPr>
        <w:pStyle w:val="footnotedescription"/>
        <w:spacing w:line="240" w:lineRule="auto"/>
        <w:jc w:val="left"/>
      </w:pPr>
      <w:hyperlink r:id="rId1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http://www.who.int/social_determinants/resources/health_equity_isa_2008_en.pdf?ua=1</w:t>
        </w:r>
      </w:hyperlink>
      <w:hyperlink r:id="rId2">
        <w:r w:rsidRPr="004B08F5">
          <w:rPr>
            <w:rFonts w:ascii="Verdana" w:hAnsi="Verdana"/>
            <w:sz w:val="18"/>
            <w:szCs w:val="18"/>
            <w:lang w:val="pt-BR"/>
          </w:rPr>
          <w:t xml:space="preserve"> 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(obnovené: 5. marca 2015).  </w:t>
      </w:r>
    </w:p>
  </w:footnote>
  <w:footnote w:id="2">
    <w:p w:rsidR="003203D0" w:rsidRDefault="003203D0" w:rsidP="004B08F5">
      <w:pPr>
        <w:pStyle w:val="footnotedescription"/>
        <w:spacing w:line="240" w:lineRule="auto"/>
        <w:ind w:right="78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Ståhl T, Wismar M, Ollila E, Lahtinen E, Leppo K. Stratégie v oblasti zdravia. Vyhliadky a potenciál. Helsinky, Ministerstvo sociálnych vecí a zdravia, Európske stredisko pre monitorovanie zdravotných systémov a stratégií, 2006, str. 5. </w:t>
      </w:r>
      <w:hyperlink r:id="rId3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http://ec.europa.eu/health/ph_information/documents/health_in_all_policies.pdf</w:t>
        </w:r>
      </w:hyperlink>
      <w:hyperlink r:id="rId4">
        <w:r w:rsidRPr="004B08F5">
          <w:rPr>
            <w:rFonts w:ascii="Verdana" w:hAnsi="Verdana"/>
            <w:sz w:val="18"/>
            <w:szCs w:val="18"/>
            <w:lang w:val="pt-BR"/>
          </w:rPr>
          <w:t xml:space="preserve"> 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 (obnovené: 5. marca 2015).  </w:t>
      </w:r>
    </w:p>
  </w:footnote>
  <w:footnote w:id="3">
    <w:p w:rsidR="003203D0" w:rsidRDefault="003203D0" w:rsidP="004B08F5">
      <w:pPr>
        <w:pStyle w:val="footnotedescription"/>
        <w:spacing w:line="240" w:lineRule="auto"/>
        <w:ind w:right="80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CHAFEA, Výkonná agentúra pre spotrebiteľov, zdravie a potraviny, Európska komisia. Stratégie nerovnosti v oblasti zdravia v Európskej únii. Konečná verzia. Programy EÚ v oblasti zdravia, na posilnenie solidarity a znižovanie nerovností v oblasti zdravia v Európskej únii. Luxembursko: Európska únia, 2014. </w:t>
      </w:r>
      <w:hyperlink r:id="rId5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http://ec.europa.eu/chafea/documents/health/health</w:t>
        </w:r>
      </w:hyperlink>
      <w:hyperlink r:id="rId6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7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inequality</w:t>
        </w:r>
      </w:hyperlink>
      <w:hyperlink r:id="rId8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9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brochure_en.pdf</w:t>
        </w:r>
      </w:hyperlink>
      <w:hyperlink r:id="rId10">
        <w:r w:rsidRPr="004B08F5">
          <w:rPr>
            <w:rFonts w:ascii="Verdana" w:hAnsi="Verdana"/>
            <w:sz w:val="18"/>
            <w:szCs w:val="18"/>
            <w:lang w:val="pt-BR"/>
          </w:rPr>
          <w:t xml:space="preserve"> (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obnovené: 5. marca 2015).  </w:t>
      </w:r>
    </w:p>
  </w:footnote>
  <w:footnote w:id="4"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da-DK"/>
        </w:rPr>
        <w:t xml:space="preserve"> Ståhl et al., 2006, op. cit.  </w:t>
      </w:r>
    </w:p>
  </w:footnote>
  <w:footnote w:id="5">
    <w:p w:rsidR="003203D0" w:rsidRDefault="003203D0" w:rsidP="004B08F5">
      <w:pPr>
        <w:pStyle w:val="footnotedescription"/>
        <w:spacing w:line="240" w:lineRule="auto"/>
        <w:ind w:right="79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da-DK"/>
        </w:rPr>
        <w:t xml:space="preserve"> McQueen DV, Wismar M, Lin V, Jones CM, Davies M. Medzisektorový dohľad nad zdravím vo všetkých stratégiách. Štruktúry, stratégie a skúsenosti. Pozorovaná séria štúdií 26.Kodaň: WHO, Svetová zdravotnícka organizácia, Európske pozorovanie zdravotných systémov a stratégií, 2012.  </w:t>
      </w:r>
      <w:hyperlink r:id="rId11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http://www.euro.who.int/__data/assets/pdf_file/0005/171707/Intersectoral</w:t>
        </w:r>
      </w:hyperlink>
      <w:hyperlink r:id="rId12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13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governance</w:t>
        </w:r>
      </w:hyperlink>
      <w:hyperlink r:id="rId14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15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for</w:t>
        </w:r>
      </w:hyperlink>
      <w:hyperlink r:id="rId16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17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health</w:t>
        </w:r>
      </w:hyperlink>
      <w:hyperlink r:id="rId18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19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in</w:t>
        </w:r>
      </w:hyperlink>
      <w:hyperlink r:id="rId20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21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all</w:t>
        </w:r>
      </w:hyperlink>
      <w:hyperlink r:id="rId22"/>
      <w:hyperlink r:id="rId23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policies.pdf</w:t>
        </w:r>
      </w:hyperlink>
      <w:hyperlink r:id="rId24">
        <w:r w:rsidRPr="004B08F5">
          <w:rPr>
            <w:rFonts w:ascii="Verdana" w:hAnsi="Verdana"/>
            <w:sz w:val="18"/>
            <w:szCs w:val="18"/>
            <w:lang w:val="pt-BR"/>
          </w:rPr>
          <w:t xml:space="preserve"> (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obnovené: 5. marca 2015).  </w:t>
      </w:r>
    </w:p>
  </w:footnote>
  <w:footnote w:id="6">
    <w:p w:rsidR="003203D0" w:rsidRPr="004B08F5" w:rsidRDefault="003203D0" w:rsidP="004B08F5">
      <w:pPr>
        <w:pStyle w:val="footnotedescription"/>
        <w:spacing w:line="240" w:lineRule="auto"/>
        <w:ind w:right="78"/>
        <w:jc w:val="left"/>
        <w:rPr>
          <w:rFonts w:ascii="Verdana" w:hAnsi="Verdana"/>
          <w:sz w:val="18"/>
          <w:szCs w:val="18"/>
          <w:lang w:val="fr-FR"/>
        </w:rPr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WHO, Svetová zdravotnícka organizácia. Diskusný materiál pre medzisektorové pôsobenie v oblasti zdravia: Cesta na vytváranie politiky s cieľom vykonávať efektívnu a udržateľnú stratégiu v oblasti zdravia. Prvá svetová konferencia ministrov o zdravom životnom štýle a kontrole neprenosných chorôb, Moskva, 28.-29. apríl 2011.  </w:t>
      </w:r>
      <w:hyperlink r:id="rId25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fr-FR"/>
          </w:rPr>
          <w:t>http://www.who.int/nmh/publications/ncds_policy_makers_to_implement_intersectoral_action.pdf</w:t>
        </w:r>
      </w:hyperlink>
      <w:hyperlink r:id="rId26">
        <w:r w:rsidRPr="004B08F5">
          <w:rPr>
            <w:rFonts w:ascii="Verdana" w:hAnsi="Verdana"/>
            <w:sz w:val="18"/>
            <w:szCs w:val="18"/>
            <w:lang w:val="fr-FR"/>
          </w:rPr>
          <w:t xml:space="preserve"> </w:t>
        </w:r>
      </w:hyperlink>
      <w:r w:rsidRPr="004B08F5">
        <w:rPr>
          <w:rFonts w:ascii="Verdana" w:hAnsi="Verdana"/>
          <w:sz w:val="18"/>
          <w:szCs w:val="18"/>
          <w:lang w:val="fr-FR"/>
        </w:rPr>
        <w:t xml:space="preserve">(obnovené: 5. </w:t>
      </w:r>
    </w:p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Fonts w:ascii="Verdana" w:hAnsi="Verdana"/>
          <w:sz w:val="18"/>
          <w:szCs w:val="18"/>
          <w:lang w:val="fr-FR"/>
        </w:rPr>
        <w:t xml:space="preserve">marca 2015).  </w:t>
      </w:r>
    </w:p>
  </w:footnote>
  <w:footnote w:id="7">
    <w:p w:rsidR="003203D0" w:rsidRDefault="003203D0" w:rsidP="004B08F5">
      <w:pPr>
        <w:pStyle w:val="footnotedescription"/>
        <w:spacing w:line="240" w:lineRule="auto"/>
        <w:ind w:right="79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fr-FR"/>
        </w:rPr>
        <w:t xml:space="preserve"> Vervoordeldonk J, Dorgelo A, Timmermans H, Dimitrov P, Manolova A, Tsolova G, et al. Opatrenia pre zdravie: Znižovanie nerovností v oblasti zdravia. Situačná analýza a potreby hodnotenia v siedmich krajinách a regiónoch EÚ. Murska Sobota: Inštitút Verejného zdravia, 2013.  </w:t>
      </w:r>
    </w:p>
  </w:footnote>
  <w:footnote w:id="8"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fr-FR"/>
        </w:rPr>
        <w:t xml:space="preserve"> Snem Svetového zdravia. Zdravie migrantov. </w:t>
      </w:r>
      <w:r w:rsidRPr="004B08F5">
        <w:rPr>
          <w:rFonts w:ascii="Verdana" w:hAnsi="Verdana"/>
          <w:sz w:val="18"/>
          <w:szCs w:val="18"/>
          <w:lang w:val="pt-BR"/>
        </w:rPr>
        <w:t xml:space="preserve">Správa sekretariátu, 2008a.  </w:t>
      </w:r>
      <w:hyperlink r:id="rId27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http://apps.who.int/iris/bitstream/10665/23467/1/A61_12</w:t>
        </w:r>
      </w:hyperlink>
      <w:hyperlink r:id="rId28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29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en.pdf?ua=1</w:t>
        </w:r>
      </w:hyperlink>
      <w:hyperlink r:id="rId30">
        <w:r w:rsidRPr="004B08F5">
          <w:rPr>
            <w:rFonts w:ascii="Verdana" w:hAnsi="Verdana"/>
            <w:sz w:val="18"/>
            <w:szCs w:val="18"/>
            <w:lang w:val="pt-BR"/>
          </w:rPr>
          <w:t xml:space="preserve"> (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obnovená: 5. marca 2015). </w:t>
      </w:r>
    </w:p>
  </w:footnote>
  <w:footnote w:id="9"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WHA, Snem Svetového zdravia. Zdravie migrantov. WHA61.17, 24, máj 2008. WHA, 2008b. </w:t>
      </w:r>
      <w:hyperlink r:id="rId31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http://apps.who.int/gb/ebwha/pdf_files/A61/A61_R17</w:t>
        </w:r>
      </w:hyperlink>
      <w:hyperlink r:id="rId32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33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en.pdf</w:t>
        </w:r>
      </w:hyperlink>
      <w:hyperlink r:id="rId34">
        <w:r w:rsidRPr="004B08F5">
          <w:rPr>
            <w:rFonts w:ascii="Verdana" w:hAnsi="Verdana"/>
            <w:sz w:val="18"/>
            <w:szCs w:val="18"/>
            <w:lang w:val="pt-BR"/>
          </w:rPr>
          <w:t xml:space="preserve"> (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obnovené: 5. marca 2015). </w:t>
      </w:r>
    </w:p>
  </w:footnote>
  <w:footnote w:id="10">
    <w:p w:rsidR="003203D0" w:rsidRPr="004B08F5" w:rsidRDefault="003203D0" w:rsidP="004B08F5">
      <w:pPr>
        <w:pStyle w:val="footnotedescription"/>
        <w:spacing w:line="240" w:lineRule="auto"/>
        <w:jc w:val="left"/>
        <w:rPr>
          <w:rFonts w:ascii="Verdana" w:hAnsi="Verdana"/>
          <w:sz w:val="18"/>
          <w:szCs w:val="18"/>
          <w:lang w:val="pt-BR"/>
        </w:rPr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WHO, Svetová zdravotnícka organizácia. Zdravie migrantov: Cesta vpred – správa o globálnej konzultácii. Madrid, Španielsko, 3.-5. marca 2010. </w:t>
      </w:r>
    </w:p>
    <w:p w:rsidR="003203D0" w:rsidRDefault="003203D0" w:rsidP="004B08F5">
      <w:pPr>
        <w:pStyle w:val="footnotedescription"/>
        <w:spacing w:line="240" w:lineRule="auto"/>
        <w:jc w:val="left"/>
      </w:pPr>
      <w:hyperlink r:id="rId35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http://www.who.int/hac/events/consultation_report_health_migrants_colour_web.pdf</w:t>
        </w:r>
      </w:hyperlink>
      <w:hyperlink r:id="rId36">
        <w:r w:rsidRPr="004B08F5">
          <w:rPr>
            <w:rFonts w:ascii="Verdana" w:hAnsi="Verdana"/>
            <w:sz w:val="18"/>
            <w:szCs w:val="18"/>
            <w:lang w:val="pt-BR"/>
          </w:rPr>
          <w:t xml:space="preserve"> (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obnovené: 5. marca 2015). </w:t>
      </w:r>
    </w:p>
  </w:footnote>
  <w:footnote w:id="11"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Ingleby D. Etnicita, Migrácia a ‘sociálne determinanty zdravia’. Psychosociálna intervencia 2012; 21(3):331-341. </w:t>
      </w:r>
    </w:p>
  </w:footnote>
  <w:footnote w:id="12">
    <w:p w:rsidR="003203D0" w:rsidRDefault="003203D0" w:rsidP="004B08F5">
      <w:pPr>
        <w:pStyle w:val="footnotedescription"/>
        <w:spacing w:line="240" w:lineRule="auto"/>
        <w:ind w:right="78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  <w:lang w:val="pt-BR"/>
        </w:rPr>
        <w:t xml:space="preserve"> Komunitné nástroje. Časť 3. Náš model praxe: Budovanie kapacít pre komunitu a zmena v systéme.  </w:t>
      </w:r>
      <w:hyperlink r:id="rId37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http://ctb.ku.edu/en/table</w:t>
        </w:r>
      </w:hyperlink>
      <w:hyperlink r:id="rId38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39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of</w:t>
        </w:r>
      </w:hyperlink>
      <w:hyperlink r:id="rId40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41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contents/overview/model</w:t>
        </w:r>
      </w:hyperlink>
      <w:hyperlink r:id="rId42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43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for</w:t>
        </w:r>
      </w:hyperlink>
      <w:hyperlink r:id="rId44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45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community</w:t>
        </w:r>
      </w:hyperlink>
      <w:hyperlink r:id="rId46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47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change</w:t>
        </w:r>
      </w:hyperlink>
      <w:hyperlink r:id="rId48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49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and</w:t>
        </w:r>
      </w:hyperlink>
      <w:hyperlink r:id="rId50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-</w:t>
        </w:r>
      </w:hyperlink>
      <w:hyperlink r:id="rId51">
        <w:r w:rsidRPr="004B08F5">
          <w:rPr>
            <w:rFonts w:ascii="Verdana" w:hAnsi="Verdana"/>
            <w:color w:val="0000FF"/>
            <w:sz w:val="18"/>
            <w:szCs w:val="18"/>
            <w:u w:val="single" w:color="0000FF"/>
            <w:lang w:val="pt-BR"/>
          </w:rPr>
          <w:t>improvement</w:t>
        </w:r>
      </w:hyperlink>
      <w:hyperlink r:id="rId52">
        <w:r w:rsidRPr="004B08F5">
          <w:rPr>
            <w:rFonts w:ascii="Verdana" w:hAnsi="Verdana"/>
            <w:sz w:val="18"/>
            <w:szCs w:val="18"/>
            <w:lang w:val="pt-BR"/>
          </w:rPr>
          <w:t xml:space="preserve"> </w:t>
        </w:r>
      </w:hyperlink>
      <w:r w:rsidRPr="004B08F5">
        <w:rPr>
          <w:rFonts w:ascii="Verdana" w:hAnsi="Verdana"/>
          <w:sz w:val="18"/>
          <w:szCs w:val="18"/>
          <w:lang w:val="pt-BR"/>
        </w:rPr>
        <w:t xml:space="preserve">(obnovené: 5. marca 2015).  </w:t>
      </w:r>
    </w:p>
  </w:footnote>
  <w:footnote w:id="13"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</w:rPr>
        <w:t xml:space="preserve"> Red Isir, Red Inmigración y Salud. Cuadernos audiovisuales para formación de profesionales en habilidades de comunicación con poblaciones inmigrantes. [DVD]. </w:t>
      </w:r>
    </w:p>
  </w:footnote>
  <w:footnote w:id="14">
    <w:p w:rsidR="003203D0" w:rsidRPr="004B08F5" w:rsidRDefault="003203D0" w:rsidP="004B08F5">
      <w:pPr>
        <w:pStyle w:val="footnotedescription"/>
        <w:spacing w:line="240" w:lineRule="auto"/>
        <w:jc w:val="left"/>
        <w:rPr>
          <w:rFonts w:ascii="Verdana" w:hAnsi="Verdana"/>
          <w:sz w:val="18"/>
          <w:szCs w:val="18"/>
        </w:rPr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</w:rPr>
        <w:t xml:space="preserve"> CIMAS, Observatorio Internacional de Ciudadanía y Medio Ambiente Sostenible. Metodologías Participativas. </w:t>
      </w:r>
    </w:p>
    <w:p w:rsidR="003203D0" w:rsidRPr="004B08F5" w:rsidRDefault="003203D0" w:rsidP="004B08F5">
      <w:pPr>
        <w:pStyle w:val="footnotedescription"/>
        <w:spacing w:line="240" w:lineRule="auto"/>
        <w:jc w:val="left"/>
        <w:rPr>
          <w:rFonts w:ascii="Verdana" w:hAnsi="Verdana"/>
          <w:sz w:val="18"/>
          <w:szCs w:val="18"/>
        </w:rPr>
      </w:pPr>
      <w:r w:rsidRPr="004B08F5">
        <w:rPr>
          <w:rFonts w:ascii="Verdana" w:hAnsi="Verdana"/>
          <w:sz w:val="18"/>
          <w:szCs w:val="18"/>
        </w:rPr>
        <w:t xml:space="preserve">Manual, 2009.  </w:t>
      </w:r>
    </w:p>
    <w:p w:rsidR="003203D0" w:rsidRDefault="003203D0" w:rsidP="004B08F5">
      <w:pPr>
        <w:pStyle w:val="footnotedescription"/>
        <w:spacing w:line="240" w:lineRule="auto"/>
        <w:ind w:right="84"/>
        <w:jc w:val="left"/>
      </w:pPr>
      <w:hyperlink r:id="rId53">
        <w:r w:rsidRPr="004B08F5">
          <w:rPr>
            <w:rFonts w:ascii="Verdana" w:hAnsi="Verdana"/>
            <w:color w:val="0000FF"/>
            <w:sz w:val="18"/>
            <w:szCs w:val="18"/>
            <w:u w:val="single" w:color="0000FF"/>
          </w:rPr>
          <w:t>http://www.redcimas.org/wordpress/wp</w:t>
        </w:r>
      </w:hyperlink>
      <w:hyperlink r:id="rId54">
        <w:r w:rsidRPr="004B08F5">
          <w:rPr>
            <w:rFonts w:ascii="Verdana" w:hAnsi="Verdana"/>
            <w:color w:val="0000FF"/>
            <w:sz w:val="18"/>
            <w:szCs w:val="18"/>
            <w:u w:val="single" w:color="0000FF"/>
          </w:rPr>
          <w:t>-</w:t>
        </w:r>
      </w:hyperlink>
      <w:hyperlink r:id="rId55">
        <w:r w:rsidRPr="004B08F5">
          <w:rPr>
            <w:rFonts w:ascii="Verdana" w:hAnsi="Verdana"/>
            <w:color w:val="0000FF"/>
            <w:sz w:val="18"/>
            <w:szCs w:val="18"/>
            <w:u w:val="single" w:color="0000FF"/>
          </w:rPr>
          <w:t>content/uploads/2012/09/manual_2010.pdf</w:t>
        </w:r>
      </w:hyperlink>
      <w:hyperlink r:id="rId56">
        <w:r w:rsidRPr="004B08F5">
          <w:rPr>
            <w:rFonts w:ascii="Verdana" w:hAnsi="Verdana"/>
            <w:sz w:val="18"/>
            <w:szCs w:val="18"/>
          </w:rPr>
          <w:t xml:space="preserve"> (</w:t>
        </w:r>
      </w:hyperlink>
      <w:r w:rsidRPr="004B08F5">
        <w:rPr>
          <w:rFonts w:ascii="Verdana" w:hAnsi="Verdana"/>
          <w:sz w:val="18"/>
          <w:szCs w:val="18"/>
        </w:rPr>
        <w:t xml:space="preserve">obnovené: 5. marca 2015).  </w:t>
      </w:r>
      <w:r w:rsidRPr="004B08F5">
        <w:rPr>
          <w:rFonts w:ascii="Verdana" w:hAnsi="Verdana"/>
          <w:sz w:val="18"/>
          <w:szCs w:val="18"/>
          <w:vertAlign w:val="superscript"/>
        </w:rPr>
        <w:t>21</w:t>
      </w:r>
      <w:r w:rsidRPr="004B08F5">
        <w:rPr>
          <w:rFonts w:ascii="Verdana" w:hAnsi="Verdana"/>
          <w:sz w:val="18"/>
          <w:szCs w:val="18"/>
        </w:rPr>
        <w:t xml:space="preserve"> Risler J, Ares P. Manual de mapeo colectivo: recursos cartográficos críticos para procesos territoriales de creación colaborativa. Buenos Aires: Tinta Limón, 2013. (obnovené: 5. marca 2015). </w:t>
      </w:r>
    </w:p>
  </w:footnote>
  <w:footnote w:id="15">
    <w:p w:rsidR="003203D0" w:rsidRDefault="003203D0" w:rsidP="004B08F5">
      <w:pPr>
        <w:pStyle w:val="footnotedescription"/>
        <w:spacing w:line="240" w:lineRule="auto"/>
        <w:jc w:val="left"/>
      </w:pPr>
      <w:r w:rsidRPr="004B08F5">
        <w:rPr>
          <w:rStyle w:val="footnotemark"/>
          <w:rFonts w:ascii="Verdana" w:hAnsi="Verdana" w:cs="Calibri"/>
          <w:szCs w:val="18"/>
        </w:rPr>
        <w:footnoteRef/>
      </w:r>
      <w:r w:rsidRPr="004B08F5">
        <w:rPr>
          <w:rFonts w:ascii="Verdana" w:hAnsi="Verdana"/>
          <w:sz w:val="18"/>
          <w:szCs w:val="18"/>
        </w:rPr>
        <w:t xml:space="preserve"> Založené na CIMAS 2009, op. cit. </w:t>
      </w:r>
      <w:r>
        <w:t>and Risler, et al. 2013, et al., op cit.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D0" w:rsidRDefault="003203D0">
    <w:pPr>
      <w:tabs>
        <w:tab w:val="center" w:pos="5658"/>
        <w:tab w:val="center" w:pos="6366"/>
        <w:tab w:val="center" w:pos="7074"/>
        <w:tab w:val="right" w:pos="8578"/>
      </w:tabs>
      <w:spacing w:after="261"/>
    </w:pPr>
    <w:r>
      <w:rPr>
        <w:noProof/>
        <w:lang w:val="es-ES" w:eastAsia="es-ES"/>
      </w:rPr>
      <w:pict>
        <v:group id="Group 18898" o:spid="_x0000_s2049" style="position:absolute;margin-left:83.65pt;margin-top:34.9pt;width:427.9pt;height:.5pt;z-index:251660288;mso-position-horizontal-relative:page;mso-position-vertical-relative:page" coordsize="54343,60">
          <v:shape id="Shape 19192" o:spid="_x0000_s2050" style="position:absolute;width:54343;height:91" coordsize="5434330,9144" path="m,l5434330,r,9144l,9144,,e" fillcolor="black" stroked="f" strokeweight="0">
            <v:stroke opacity="0"/>
          </v:shape>
          <w10:wrap type="square" anchorx="page" anchory="page"/>
        </v:group>
      </w:pict>
    </w:r>
    <w:r>
      <w:tab/>
    </w:r>
    <w:r>
      <w:rPr>
        <w:rFonts w:ascii="Verdana" w:hAnsi="Verdana" w:cs="Verdana"/>
        <w:color w:val="404040"/>
      </w:rPr>
      <w:t xml:space="preserve"> </w:t>
    </w:r>
    <w:r>
      <w:rPr>
        <w:rFonts w:ascii="Verdana" w:hAnsi="Verdana" w:cs="Verdana"/>
        <w:color w:val="404040"/>
      </w:rPr>
      <w:tab/>
      <w:t xml:space="preserve"> </w:t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18"/>
      </w:rPr>
      <w:t xml:space="preserve">MEM-TP </w:t>
    </w:r>
  </w:p>
  <w:p w:rsidR="003203D0" w:rsidRDefault="003203D0">
    <w:pPr>
      <w:spacing w:after="0"/>
      <w:jc w:val="right"/>
    </w:pPr>
    <w:r>
      <w:rPr>
        <w:rFonts w:ascii="Verdana" w:hAnsi="Verdana" w:cs="Verdana"/>
        <w:color w:val="404040"/>
      </w:rPr>
      <w:t xml:space="preserve"> </w:t>
    </w:r>
    <w:r>
      <w:rPr>
        <w:rFonts w:ascii="Verdana" w:hAnsi="Verdana" w:cs="Verdana"/>
        <w:color w:val="404040"/>
      </w:rPr>
      <w:tab/>
      <w:t xml:space="preserve"> </w:t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D0" w:rsidRDefault="003203D0">
    <w:pPr>
      <w:tabs>
        <w:tab w:val="center" w:pos="5658"/>
        <w:tab w:val="center" w:pos="6366"/>
        <w:tab w:val="center" w:pos="7074"/>
        <w:tab w:val="right" w:pos="8578"/>
      </w:tabs>
      <w:spacing w:after="261"/>
    </w:pPr>
    <w:r>
      <w:rPr>
        <w:noProof/>
        <w:lang w:val="es-ES" w:eastAsia="es-ES"/>
      </w:rPr>
      <w:pict>
        <v:group id="Group 18858" o:spid="_x0000_s2051" style="position:absolute;margin-left:85.1pt;margin-top:53.05pt;width:427.9pt;height:.5pt;z-index:251662336;mso-position-horizontal-relative:page;mso-position-vertical-relative:page" coordsize="54343,60">
          <v:shape id="Shape 19190" o:spid="_x0000_s2052" style="position:absolute;width:54343;height:91" coordsize="5434330,9144" path="m,l5434330,r,9144l,9144,,e" fillcolor="black" stroked="f" strokeweight="0">
            <v:stroke opacity="0"/>
          </v:shape>
          <w10:wrap type="square" anchorx="page" anchory="page"/>
        </v:group>
      </w:pict>
    </w:r>
    <w:r>
      <w:tab/>
    </w:r>
    <w:r>
      <w:rPr>
        <w:rFonts w:ascii="Verdana" w:hAnsi="Verdana" w:cs="Verdana"/>
        <w:color w:val="404040"/>
      </w:rPr>
      <w:t xml:space="preserve"> </w:t>
    </w:r>
    <w:r>
      <w:rPr>
        <w:rFonts w:ascii="Verdana" w:hAnsi="Verdana" w:cs="Verdana"/>
        <w:color w:val="404040"/>
      </w:rPr>
      <w:tab/>
      <w:t xml:space="preserve"> </w:t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18"/>
      </w:rPr>
      <w:t xml:space="preserve">MEM-TP </w:t>
    </w:r>
  </w:p>
  <w:p w:rsidR="003203D0" w:rsidRDefault="003203D0">
    <w:pPr>
      <w:spacing w:after="0"/>
      <w:jc w:val="right"/>
    </w:pPr>
    <w:r>
      <w:rPr>
        <w:rFonts w:ascii="Verdana" w:hAnsi="Verdana" w:cs="Verdana"/>
        <w:color w:val="404040"/>
      </w:rPr>
      <w:t xml:space="preserve"> </w:t>
    </w:r>
    <w:r>
      <w:rPr>
        <w:rFonts w:ascii="Verdana" w:hAnsi="Verdana" w:cs="Verdana"/>
        <w:color w:val="404040"/>
      </w:rPr>
      <w:tab/>
      <w:t xml:space="preserve"> </w:t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D0" w:rsidRDefault="003203D0" w:rsidP="004B08F5">
    <w:pPr>
      <w:tabs>
        <w:tab w:val="center" w:pos="5658"/>
        <w:tab w:val="center" w:pos="6366"/>
        <w:tab w:val="center" w:pos="7074"/>
        <w:tab w:val="right" w:pos="8578"/>
      </w:tabs>
      <w:spacing w:after="261"/>
    </w:pPr>
    <w:r>
      <w:rPr>
        <w:noProof/>
        <w:lang w:val="es-ES" w:eastAsia="es-ES"/>
      </w:rPr>
      <w:pict>
        <v:group id="_x0000_s2057" style="position:absolute;margin-left:85.1pt;margin-top:53.05pt;width:427.9pt;height:.5pt;z-index:251668480;mso-position-horizontal-relative:page;mso-position-vertical-relative:page" coordsize="54343,60">
          <v:shape id="Shape 19190" o:spid="_x0000_s2058" style="position:absolute;width:54343;height:91" coordsize="5434330,9144" path="m,l5434330,r,9144l,9144,,e" fillcolor="black" stroked="f" strokeweight="0">
            <v:stroke opacity="0"/>
          </v:shape>
          <w10:wrap type="square" anchorx="page" anchory="page"/>
        </v:group>
      </w:pict>
    </w:r>
    <w:r>
      <w:rPr>
        <w:rFonts w:ascii="Verdana" w:hAnsi="Verdana" w:cs="Verdana"/>
        <w:color w:val="404040"/>
      </w:rPr>
      <w:tab/>
      <w:t xml:space="preserve"> </w:t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  <w:r>
      <w:rPr>
        <w:rFonts w:ascii="Verdana" w:hAnsi="Verdana" w:cs="Verdana"/>
        <w:color w:val="404040"/>
        <w:sz w:val="18"/>
      </w:rPr>
      <w:t xml:space="preserve">MEM-TP </w:t>
    </w:r>
  </w:p>
  <w:p w:rsidR="003203D0" w:rsidRDefault="003203D0" w:rsidP="004B08F5">
    <w:pPr>
      <w:pStyle w:val="Header"/>
    </w:pPr>
    <w:r>
      <w:rPr>
        <w:rFonts w:ascii="Verdana" w:hAnsi="Verdana" w:cs="Verdana"/>
        <w:color w:val="404040"/>
      </w:rPr>
      <w:t xml:space="preserve"> </w:t>
    </w:r>
    <w:r>
      <w:rPr>
        <w:rFonts w:ascii="Verdana" w:hAnsi="Verdana" w:cs="Verdana"/>
        <w:color w:val="404040"/>
      </w:rPr>
      <w:tab/>
      <w:t xml:space="preserve"> </w:t>
    </w:r>
    <w:r>
      <w:rPr>
        <w:rFonts w:ascii="Verdana" w:hAnsi="Verdana" w:cs="Verdana"/>
        <w:color w:val="404040"/>
      </w:rPr>
      <w:tab/>
    </w:r>
    <w:r>
      <w:rPr>
        <w:rFonts w:ascii="Verdana" w:hAnsi="Verdana" w:cs="Verdana"/>
        <w:color w:val="404040"/>
        <w:sz w:val="16"/>
      </w:rPr>
      <w:t xml:space="preserve"> </w:t>
    </w:r>
    <w:r>
      <w:rPr>
        <w:rFonts w:ascii="Verdana" w:hAnsi="Verdana" w:cs="Verdana"/>
        <w:color w:val="404040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AD"/>
    <w:multiLevelType w:val="hybridMultilevel"/>
    <w:tmpl w:val="760AFD88"/>
    <w:lvl w:ilvl="0" w:tplc="056C586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9289A5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199CE170">
      <w:start w:val="1"/>
      <w:numFmt w:val="bullet"/>
      <w:lvlText w:val="o"/>
      <w:lvlJc w:val="left"/>
      <w:pPr>
        <w:ind w:left="1416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47B098F4">
      <w:start w:val="1"/>
      <w:numFmt w:val="bullet"/>
      <w:lvlText w:val="•"/>
      <w:lvlJc w:val="left"/>
      <w:pPr>
        <w:ind w:left="21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B58DB30">
      <w:start w:val="1"/>
      <w:numFmt w:val="bullet"/>
      <w:lvlText w:val="o"/>
      <w:lvlJc w:val="left"/>
      <w:pPr>
        <w:ind w:left="28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72A4052">
      <w:start w:val="1"/>
      <w:numFmt w:val="bullet"/>
      <w:lvlText w:val="▪"/>
      <w:lvlJc w:val="left"/>
      <w:pPr>
        <w:ind w:left="360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05062994">
      <w:start w:val="1"/>
      <w:numFmt w:val="bullet"/>
      <w:lvlText w:val="•"/>
      <w:lvlJc w:val="left"/>
      <w:pPr>
        <w:ind w:left="432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72F82504">
      <w:start w:val="1"/>
      <w:numFmt w:val="bullet"/>
      <w:lvlText w:val="o"/>
      <w:lvlJc w:val="left"/>
      <w:pPr>
        <w:ind w:left="50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21ACCB6">
      <w:start w:val="1"/>
      <w:numFmt w:val="bullet"/>
      <w:lvlText w:val="▪"/>
      <w:lvlJc w:val="left"/>
      <w:pPr>
        <w:ind w:left="576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0FBD730C"/>
    <w:multiLevelType w:val="multilevel"/>
    <w:tmpl w:val="C87CC8FA"/>
    <w:lvl w:ilvl="0">
      <w:start w:val="1"/>
      <w:numFmt w:val="decimal"/>
      <w:pStyle w:val="Heading1"/>
      <w:lvlText w:val="%1.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1">
      <w:start w:val="1"/>
      <w:numFmt w:val="decimal"/>
      <w:pStyle w:val="Heading2"/>
      <w:lvlText w:val="%1.%2.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Calibri" w:eastAsia="Times New Roman" w:hAnsi="Calibri" w:cs="Calibri"/>
        <w:b/>
        <w:bCs/>
        <w:i w:val="0"/>
        <w:strike w:val="0"/>
        <w:dstrike w:val="0"/>
        <w:color w:val="000080"/>
        <w:sz w:val="24"/>
        <w:szCs w:val="24"/>
        <w:u w:val="none" w:color="000000"/>
        <w:vertAlign w:val="baseline"/>
      </w:rPr>
    </w:lvl>
  </w:abstractNum>
  <w:abstractNum w:abstractNumId="2">
    <w:nsid w:val="14F357D3"/>
    <w:multiLevelType w:val="hybridMultilevel"/>
    <w:tmpl w:val="F0FC8664"/>
    <w:lvl w:ilvl="0" w:tplc="0C0A0005">
      <w:start w:val="1"/>
      <w:numFmt w:val="bullet"/>
      <w:lvlText w:val="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>
    <w:nsid w:val="2F545795"/>
    <w:multiLevelType w:val="hybridMultilevel"/>
    <w:tmpl w:val="8174AFD0"/>
    <w:lvl w:ilvl="0" w:tplc="3788D18A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464C4CB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E7E9AA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8E14059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002AC6F4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9F851C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C008693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56E75D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7342F6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4">
    <w:nsid w:val="445825E1"/>
    <w:multiLevelType w:val="hybridMultilevel"/>
    <w:tmpl w:val="D018A440"/>
    <w:lvl w:ilvl="0" w:tplc="9A9A7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5F41BC"/>
    <w:multiLevelType w:val="hybridMultilevel"/>
    <w:tmpl w:val="048CB6BA"/>
    <w:lvl w:ilvl="0" w:tplc="75E0AEE6">
      <w:start w:val="8"/>
      <w:numFmt w:val="decimal"/>
      <w:lvlText w:val="%1"/>
      <w:lvlJc w:val="left"/>
      <w:pPr>
        <w:ind w:left="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1" w:tplc="5BAAEE0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2" w:tplc="2BB4E85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3" w:tplc="D92CF63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4" w:tplc="CF86018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5" w:tplc="60E4667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6" w:tplc="7ED8BFE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7" w:tplc="54A4996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8" w:tplc="D4BA9B8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</w:abstractNum>
  <w:abstractNum w:abstractNumId="6">
    <w:nsid w:val="633C328F"/>
    <w:multiLevelType w:val="multilevel"/>
    <w:tmpl w:val="F0FC8664"/>
    <w:lvl w:ilvl="0">
      <w:start w:val="1"/>
      <w:numFmt w:val="bullet"/>
      <w:lvlText w:val="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>
    <w:nsid w:val="676311B2"/>
    <w:multiLevelType w:val="hybridMultilevel"/>
    <w:tmpl w:val="1B96B7BC"/>
    <w:lvl w:ilvl="0" w:tplc="9A9A7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8543D6"/>
    <w:multiLevelType w:val="hybridMultilevel"/>
    <w:tmpl w:val="33A836EE"/>
    <w:lvl w:ilvl="0" w:tplc="9A9A7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27300F2"/>
    <w:multiLevelType w:val="hybridMultilevel"/>
    <w:tmpl w:val="C4604834"/>
    <w:lvl w:ilvl="0" w:tplc="47447CCA">
      <w:start w:val="1"/>
      <w:numFmt w:val="bullet"/>
      <w:lvlText w:val="•"/>
      <w:lvlJc w:val="left"/>
      <w:pPr>
        <w:ind w:left="43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C652D52A">
      <w:start w:val="1"/>
      <w:numFmt w:val="bullet"/>
      <w:lvlText w:val="o"/>
      <w:lvlJc w:val="left"/>
      <w:pPr>
        <w:ind w:left="11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DDE1F18">
      <w:start w:val="1"/>
      <w:numFmt w:val="bullet"/>
      <w:lvlText w:val="▪"/>
      <w:lvlJc w:val="left"/>
      <w:pPr>
        <w:ind w:left="18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F0E2782">
      <w:start w:val="1"/>
      <w:numFmt w:val="bullet"/>
      <w:lvlText w:val="•"/>
      <w:lvlJc w:val="left"/>
      <w:pPr>
        <w:ind w:left="25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19787928">
      <w:start w:val="1"/>
      <w:numFmt w:val="bullet"/>
      <w:lvlText w:val="o"/>
      <w:lvlJc w:val="left"/>
      <w:pPr>
        <w:ind w:left="32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7388AAF6">
      <w:start w:val="1"/>
      <w:numFmt w:val="bullet"/>
      <w:lvlText w:val="▪"/>
      <w:lvlJc w:val="left"/>
      <w:pPr>
        <w:ind w:left="40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E8A9DE4">
      <w:start w:val="1"/>
      <w:numFmt w:val="bullet"/>
      <w:lvlText w:val="•"/>
      <w:lvlJc w:val="left"/>
      <w:pPr>
        <w:ind w:left="472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C98EEF44">
      <w:start w:val="1"/>
      <w:numFmt w:val="bullet"/>
      <w:lvlText w:val="o"/>
      <w:lvlJc w:val="left"/>
      <w:pPr>
        <w:ind w:left="54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25636BC">
      <w:start w:val="1"/>
      <w:numFmt w:val="bullet"/>
      <w:lvlText w:val="▪"/>
      <w:lvlJc w:val="left"/>
      <w:pPr>
        <w:ind w:left="61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1F"/>
    <w:rsid w:val="00005BCF"/>
    <w:rsid w:val="00126405"/>
    <w:rsid w:val="002178B8"/>
    <w:rsid w:val="003203D0"/>
    <w:rsid w:val="003238F0"/>
    <w:rsid w:val="0040491F"/>
    <w:rsid w:val="004A6079"/>
    <w:rsid w:val="004B08F5"/>
    <w:rsid w:val="005034F7"/>
    <w:rsid w:val="006B0F94"/>
    <w:rsid w:val="007E2DA3"/>
    <w:rsid w:val="007F7519"/>
    <w:rsid w:val="00FE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405"/>
    <w:pPr>
      <w:spacing w:after="160" w:line="259" w:lineRule="auto"/>
    </w:pPr>
    <w:rPr>
      <w:rFonts w:cs="Calibri"/>
      <w:color w:val="000000"/>
      <w:lang w:val="sk-SK"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405"/>
    <w:pPr>
      <w:keepNext/>
      <w:keepLines/>
      <w:numPr>
        <w:numId w:val="5"/>
      </w:numPr>
      <w:spacing w:after="0"/>
      <w:ind w:left="10" w:right="79" w:hanging="10"/>
      <w:outlineLvl w:val="0"/>
    </w:pPr>
    <w:rPr>
      <w:rFonts w:cs="Times New Roman"/>
      <w:b/>
      <w:color w:val="000080"/>
      <w:sz w:val="28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405"/>
    <w:pPr>
      <w:keepNext/>
      <w:keepLines/>
      <w:numPr>
        <w:ilvl w:val="1"/>
        <w:numId w:val="5"/>
      </w:numPr>
      <w:spacing w:after="0"/>
      <w:ind w:left="716" w:hanging="10"/>
      <w:outlineLvl w:val="1"/>
    </w:pPr>
    <w:rPr>
      <w:rFonts w:cs="Times New Roman"/>
      <w:b/>
      <w:color w:val="000080"/>
      <w:sz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405"/>
    <w:rPr>
      <w:rFonts w:ascii="Calibri" w:hAnsi="Calibri" w:cs="Times New Roman"/>
      <w:b/>
      <w:color w:val="00008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6405"/>
    <w:rPr>
      <w:rFonts w:ascii="Calibri" w:hAnsi="Calibri" w:cs="Times New Roman"/>
      <w:b/>
      <w:color w:val="000080"/>
      <w:sz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126405"/>
    <w:pPr>
      <w:spacing w:line="245" w:lineRule="auto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126405"/>
    <w:rPr>
      <w:color w:val="000000"/>
      <w:sz w:val="22"/>
    </w:rPr>
  </w:style>
  <w:style w:type="character" w:customStyle="1" w:styleId="footnotemark">
    <w:name w:val="footnote mark"/>
    <w:hidden/>
    <w:uiPriority w:val="99"/>
    <w:rsid w:val="00126405"/>
    <w:rPr>
      <w:rFonts w:ascii="Calibri" w:hAnsi="Calibri"/>
      <w:color w:val="000000"/>
      <w:sz w:val="18"/>
      <w:vertAlign w:val="superscript"/>
    </w:rPr>
  </w:style>
  <w:style w:type="table" w:customStyle="1" w:styleId="TableGrid">
    <w:name w:val="TableGrid"/>
    <w:uiPriority w:val="99"/>
    <w:rsid w:val="00126405"/>
    <w:rPr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4B08F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4B"/>
    <w:rPr>
      <w:rFonts w:cs="Calibri"/>
      <w:color w:val="000000"/>
      <w:lang w:val="sk-SK" w:eastAsia="sk-SK"/>
    </w:rPr>
  </w:style>
  <w:style w:type="paragraph" w:styleId="Footer">
    <w:name w:val="footer"/>
    <w:basedOn w:val="Normal"/>
    <w:link w:val="FooterChar"/>
    <w:uiPriority w:val="99"/>
    <w:rsid w:val="004B08F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F4B"/>
    <w:rPr>
      <w:rFonts w:cs="Calibri"/>
      <w:color w:val="00000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hqlibdoc.who.int/publications/2008/9789241563703_eng.pdf" TargetMode="External"/><Relationship Id="rId21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42" Type="http://schemas.openxmlformats.org/officeDocument/2006/relationships/hyperlink" Target="http://www.who.int/social_determinants/resources/health_equity_isa_2008_en.pdf?ua=1" TargetMode="External"/><Relationship Id="rId47" Type="http://schemas.openxmlformats.org/officeDocument/2006/relationships/hyperlink" Target="http://www.redcimas.org/wordpress/wp-content/uploads/2012/09/manual_2010.pdf" TargetMode="External"/><Relationship Id="rId63" Type="http://schemas.openxmlformats.org/officeDocument/2006/relationships/hyperlink" Target="http://ctb.ku.edu/en/table-of-contents/overview/model-for-community-change-and-improvement" TargetMode="External"/><Relationship Id="rId68" Type="http://schemas.openxmlformats.org/officeDocument/2006/relationships/hyperlink" Target="http://www.euro.who.int/__data/assets/pdf_file/0005/171707/Intersectoral-governance-for-health-in-all-policies.pdf" TargetMode="External"/><Relationship Id="rId84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89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29" Type="http://schemas.openxmlformats.org/officeDocument/2006/relationships/hyperlink" Target="http://ec.europa.eu/health/social_determinants/docs/healthinequalitiesineu_2013_en.pdf" TargetMode="External"/><Relationship Id="rId107" Type="http://schemas.openxmlformats.org/officeDocument/2006/relationships/hyperlink" Target="http://www.who.int/hac/events/consultation_report_health_migrants_colour_web.pdf" TargetMode="External"/><Relationship Id="rId11" Type="http://schemas.openxmlformats.org/officeDocument/2006/relationships/header" Target="header2.xml"/><Relationship Id="rId24" Type="http://schemas.openxmlformats.org/officeDocument/2006/relationships/hyperlink" Target="http://www.who.int/sdhconference/resources/ConceptualframeworkforactiononSDH_eng.pdf" TargetMode="External"/><Relationship Id="rId32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37" Type="http://schemas.openxmlformats.org/officeDocument/2006/relationships/hyperlink" Target="http://ec.europa.eu/chafea/documents/health/health-inequality-brochure_en.pdf" TargetMode="External"/><Relationship Id="rId40" Type="http://schemas.openxmlformats.org/officeDocument/2006/relationships/hyperlink" Target="http://ec.europa.eu/health/ph_information/documents/health_in_all_policies.pdf" TargetMode="External"/><Relationship Id="rId45" Type="http://schemas.openxmlformats.org/officeDocument/2006/relationships/hyperlink" Target="http://www.redcimas.org/wordpress/wp-content/uploads/2012/09/manual_2010.pdf" TargetMode="External"/><Relationship Id="rId53" Type="http://schemas.openxmlformats.org/officeDocument/2006/relationships/hyperlink" Target="http://ctb.ku.edu/en/table-of-contents/overview/model-for-community-change-and-improvement" TargetMode="External"/><Relationship Id="rId58" Type="http://schemas.openxmlformats.org/officeDocument/2006/relationships/hyperlink" Target="http://ctb.ku.edu/en/table-of-contents/overview/model-for-community-change-and-improvement" TargetMode="External"/><Relationship Id="rId66" Type="http://schemas.openxmlformats.org/officeDocument/2006/relationships/hyperlink" Target="http://www.euro.who.int/__data/assets/pdf_file/0005/171707/Intersectoral-governance-for-health-in-all-policies.pdf" TargetMode="External"/><Relationship Id="rId74" Type="http://schemas.openxmlformats.org/officeDocument/2006/relationships/hyperlink" Target="http://www.euro.who.int/__data/assets/pdf_file/0005/171707/Intersectoral-governance-for-health-in-all-policies.pdf" TargetMode="External"/><Relationship Id="rId79" Type="http://schemas.openxmlformats.org/officeDocument/2006/relationships/hyperlink" Target="http://www.euro.who.int/__data/assets/pdf_file/0005/171707/Intersectoral-governance-for-health-in-all-policies.pdf" TargetMode="External"/><Relationship Id="rId87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102" Type="http://schemas.openxmlformats.org/officeDocument/2006/relationships/hyperlink" Target="http://whqlibdoc.who.int/publications/2008/9789241563703_eng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tb.ku.edu/en/table-of-contents/overview/model-for-community-change-and-improvement" TargetMode="External"/><Relationship Id="rId82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90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95" Type="http://schemas.openxmlformats.org/officeDocument/2006/relationships/hyperlink" Target="http://apps.who.int/gb/ebwha/pdf_files/A61/A61_R17-en.pdf" TargetMode="External"/><Relationship Id="rId19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27" Type="http://schemas.openxmlformats.org/officeDocument/2006/relationships/hyperlink" Target="http://whqlibdoc.who.int/publications/2008/9789241563703_eng.pdf" TargetMode="External"/><Relationship Id="rId30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35" Type="http://schemas.openxmlformats.org/officeDocument/2006/relationships/hyperlink" Target="http://ec.europa.eu/chafea/documents/health/health-inequality-brochure_en.pdf" TargetMode="External"/><Relationship Id="rId43" Type="http://schemas.openxmlformats.org/officeDocument/2006/relationships/hyperlink" Target="http://www.who.int/social_determinants/resources/health_equity_isa_2008_en.pdf?ua=1" TargetMode="External"/><Relationship Id="rId48" Type="http://schemas.openxmlformats.org/officeDocument/2006/relationships/hyperlink" Target="http://ctb.ku.edu/en/table-of-contents/overview/model-for-community-change-and-improvement" TargetMode="External"/><Relationship Id="rId56" Type="http://schemas.openxmlformats.org/officeDocument/2006/relationships/hyperlink" Target="http://ctb.ku.edu/en/table-of-contents/overview/model-for-community-change-and-improvement" TargetMode="External"/><Relationship Id="rId64" Type="http://schemas.openxmlformats.org/officeDocument/2006/relationships/hyperlink" Target="http://ec.europa.eu/health/social_determinants/docs/healthinequalitiesineu_2013_en.pdf" TargetMode="External"/><Relationship Id="rId69" Type="http://schemas.openxmlformats.org/officeDocument/2006/relationships/hyperlink" Target="http://www.euro.who.int/__data/assets/pdf_file/0005/171707/Intersectoral-governance-for-health-in-all-policies.pdf" TargetMode="External"/><Relationship Id="rId77" Type="http://schemas.openxmlformats.org/officeDocument/2006/relationships/hyperlink" Target="http://www.euro.who.int/__data/assets/pdf_file/0005/171707/Intersectoral-governance-for-health-in-all-policies.pdf" TargetMode="External"/><Relationship Id="rId100" Type="http://schemas.openxmlformats.org/officeDocument/2006/relationships/hyperlink" Target="http://www.who.int/sdhconference/resources/ConceptualframeworkforactiononSDH_eng.pdf" TargetMode="External"/><Relationship Id="rId105" Type="http://schemas.openxmlformats.org/officeDocument/2006/relationships/hyperlink" Target="http://www.who.int/nmh/publications/ncds_policy_makers_to_implement_intersectoral_action.pdf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ctb.ku.edu/en/table-of-contents/overview/model-for-community-change-and-improvement" TargetMode="External"/><Relationship Id="rId72" Type="http://schemas.openxmlformats.org/officeDocument/2006/relationships/hyperlink" Target="http://www.euro.who.int/__data/assets/pdf_file/0005/171707/Intersectoral-governance-for-health-in-all-policies.pdf" TargetMode="External"/><Relationship Id="rId80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85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93" Type="http://schemas.openxmlformats.org/officeDocument/2006/relationships/hyperlink" Target="http://apps.who.int/iris/bitstream/10665/23467/1/A61_12-en.pdf?ua=1" TargetMode="External"/><Relationship Id="rId98" Type="http://schemas.openxmlformats.org/officeDocument/2006/relationships/hyperlink" Target="http://apps.who.int/gb/ebwha/pdf_files/A61/A61_R17-en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25" Type="http://schemas.openxmlformats.org/officeDocument/2006/relationships/hyperlink" Target="http://www.who.int/sdhconference/resources/ConceptualframeworkforactiononSDH_eng.pdf" TargetMode="External"/><Relationship Id="rId33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38" Type="http://schemas.openxmlformats.org/officeDocument/2006/relationships/hyperlink" Target="http://ec.europa.eu/chafea/documents/health/health-inequality-brochure_en.pdf" TargetMode="External"/><Relationship Id="rId46" Type="http://schemas.openxmlformats.org/officeDocument/2006/relationships/hyperlink" Target="http://www.redcimas.org/wordpress/wp-content/uploads/2012/09/manual_2010.pdf" TargetMode="External"/><Relationship Id="rId59" Type="http://schemas.openxmlformats.org/officeDocument/2006/relationships/hyperlink" Target="http://ctb.ku.edu/en/table-of-contents/overview/model-for-community-change-and-improvement" TargetMode="External"/><Relationship Id="rId67" Type="http://schemas.openxmlformats.org/officeDocument/2006/relationships/hyperlink" Target="http://www.euro.who.int/__data/assets/pdf_file/0005/171707/Intersectoral-governance-for-health-in-all-policies.pdf" TargetMode="External"/><Relationship Id="rId103" Type="http://schemas.openxmlformats.org/officeDocument/2006/relationships/hyperlink" Target="http://whqlibdoc.who.int/publications/2008/9789241563703_eng.pdf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41" Type="http://schemas.openxmlformats.org/officeDocument/2006/relationships/hyperlink" Target="http://ec.europa.eu/health/ph_information/documents/health_in_all_policies.pdf" TargetMode="External"/><Relationship Id="rId54" Type="http://schemas.openxmlformats.org/officeDocument/2006/relationships/hyperlink" Target="http://ctb.ku.edu/en/table-of-contents/overview/model-for-community-change-and-improvement" TargetMode="External"/><Relationship Id="rId62" Type="http://schemas.openxmlformats.org/officeDocument/2006/relationships/hyperlink" Target="http://ctb.ku.edu/en/table-of-contents/overview/model-for-community-change-and-improvement" TargetMode="External"/><Relationship Id="rId70" Type="http://schemas.openxmlformats.org/officeDocument/2006/relationships/hyperlink" Target="http://www.euro.who.int/__data/assets/pdf_file/0005/171707/Intersectoral-governance-for-health-in-all-policies.pdf" TargetMode="External"/><Relationship Id="rId75" Type="http://schemas.openxmlformats.org/officeDocument/2006/relationships/hyperlink" Target="http://www.euro.who.int/__data/assets/pdf_file/0005/171707/Intersectoral-governance-for-health-in-all-policies.pdf" TargetMode="External"/><Relationship Id="rId83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88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91" Type="http://schemas.openxmlformats.org/officeDocument/2006/relationships/hyperlink" Target="http://apps.who.int/iris/bitstream/10665/23467/1/A61_12-en.pdf?ua=1" TargetMode="External"/><Relationship Id="rId96" Type="http://schemas.openxmlformats.org/officeDocument/2006/relationships/hyperlink" Target="http://apps.who.int/gb/ebwha/pdf_files/A61/A61_R17-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23" Type="http://schemas.openxmlformats.org/officeDocument/2006/relationships/hyperlink" Target="http://www.who.int/sdhconference/resources/ConceptualframeworkforactiononSDH_eng.pdf" TargetMode="External"/><Relationship Id="rId28" Type="http://schemas.openxmlformats.org/officeDocument/2006/relationships/hyperlink" Target="http://ec.europa.eu/health/social_determinants/docs/healthinequalitiesineu_2013_en.pdf" TargetMode="External"/><Relationship Id="rId36" Type="http://schemas.openxmlformats.org/officeDocument/2006/relationships/hyperlink" Target="http://ec.europa.eu/chafea/documents/health/health-inequality-brochure_en.pdf" TargetMode="External"/><Relationship Id="rId49" Type="http://schemas.openxmlformats.org/officeDocument/2006/relationships/hyperlink" Target="http://ctb.ku.edu/en/table-of-contents/overview/model-for-community-change-and-improvement" TargetMode="External"/><Relationship Id="rId57" Type="http://schemas.openxmlformats.org/officeDocument/2006/relationships/hyperlink" Target="http://ctb.ku.edu/en/table-of-contents/overview/model-for-community-change-and-improvement" TargetMode="External"/><Relationship Id="rId106" Type="http://schemas.openxmlformats.org/officeDocument/2006/relationships/hyperlink" Target="http://www.who.int/hac/events/consultation_report_health_migrants_colour_web.pdf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44" Type="http://schemas.openxmlformats.org/officeDocument/2006/relationships/hyperlink" Target="http://www.redcimas.org/wordpress/wp-content/uploads/2012/09/manual_2010.pdf" TargetMode="External"/><Relationship Id="rId52" Type="http://schemas.openxmlformats.org/officeDocument/2006/relationships/hyperlink" Target="http://ctb.ku.edu/en/table-of-contents/overview/model-for-community-change-and-improvement" TargetMode="External"/><Relationship Id="rId60" Type="http://schemas.openxmlformats.org/officeDocument/2006/relationships/hyperlink" Target="http://ctb.ku.edu/en/table-of-contents/overview/model-for-community-change-and-improvement" TargetMode="External"/><Relationship Id="rId65" Type="http://schemas.openxmlformats.org/officeDocument/2006/relationships/hyperlink" Target="http://ec.europa.eu/health/social_determinants/docs/healthinequalitiesineu_2013_en.pdf" TargetMode="External"/><Relationship Id="rId73" Type="http://schemas.openxmlformats.org/officeDocument/2006/relationships/hyperlink" Target="http://www.euro.who.int/__data/assets/pdf_file/0005/171707/Intersectoral-governance-for-health-in-all-policies.pdf" TargetMode="External"/><Relationship Id="rId78" Type="http://schemas.openxmlformats.org/officeDocument/2006/relationships/hyperlink" Target="http://www.euro.who.int/__data/assets/pdf_file/0005/171707/Intersectoral-governance-for-health-in-all-policies.pdf" TargetMode="External"/><Relationship Id="rId81" Type="http://schemas.openxmlformats.org/officeDocument/2006/relationships/hyperlink" Target="https://www.msssi.gob.es/profesionales/saludPublica/prevPromocion/promocion/desigualdadSalud/PresidenciaUE_2010/conferenciaExpertos/docs/haciaLaEquidadEnSalud_en.pdf" TargetMode="External"/><Relationship Id="rId86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94" Type="http://schemas.openxmlformats.org/officeDocument/2006/relationships/hyperlink" Target="http://apps.who.int/iris/bitstream/10665/23467/1/A61_12-en.pdf?ua=1" TargetMode="External"/><Relationship Id="rId99" Type="http://schemas.openxmlformats.org/officeDocument/2006/relationships/hyperlink" Target="http://www.who.int/sdhconference/resources/ConceptualframeworkforactiononSDH_eng.pdf" TargetMode="External"/><Relationship Id="rId101" Type="http://schemas.openxmlformats.org/officeDocument/2006/relationships/hyperlink" Target="http://whqlibdoc.who.int/publications/2008/9789241563703_eng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yperlink" Target="http://www.action-for-health.eu/sites/default/files/files/Situation%20Analysis%20and%20Needs%20Assessment%20in%20Seven%20EU-Countries%20and%20Regions.pdf" TargetMode="External"/><Relationship Id="rId39" Type="http://schemas.openxmlformats.org/officeDocument/2006/relationships/hyperlink" Target="http://ec.europa.eu/chafea/documents/health/health-inequality-brochure_en.pdf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ec.europa.eu/chafea/documents/health/health-inequality-brochure_en.pdf" TargetMode="External"/><Relationship Id="rId50" Type="http://schemas.openxmlformats.org/officeDocument/2006/relationships/hyperlink" Target="http://ctb.ku.edu/en/table-of-contents/overview/model-for-community-change-and-improvement" TargetMode="External"/><Relationship Id="rId55" Type="http://schemas.openxmlformats.org/officeDocument/2006/relationships/hyperlink" Target="http://ctb.ku.edu/en/table-of-contents/overview/model-for-community-change-and-improvement" TargetMode="External"/><Relationship Id="rId76" Type="http://schemas.openxmlformats.org/officeDocument/2006/relationships/hyperlink" Target="http://www.euro.who.int/__data/assets/pdf_file/0005/171707/Intersectoral-governance-for-health-in-all-policies.pdf" TargetMode="External"/><Relationship Id="rId97" Type="http://schemas.openxmlformats.org/officeDocument/2006/relationships/hyperlink" Target="http://apps.who.int/gb/ebwha/pdf_files/A61/A61_R17-en.pdf" TargetMode="External"/><Relationship Id="rId104" Type="http://schemas.openxmlformats.org/officeDocument/2006/relationships/hyperlink" Target="http://www.who.int/nmh/publications/ncds_policy_makers_to_implement_intersectoral_action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euro.who.int/__data/assets/pdf_file/0005/171707/Intersectoral-governance-for-health-in-all-policies.pdf" TargetMode="External"/><Relationship Id="rId92" Type="http://schemas.openxmlformats.org/officeDocument/2006/relationships/hyperlink" Target="http://apps.who.int/iris/bitstream/10665/23467/1/A61_12-en.pdf?ua=1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.who.int/__data/assets/pdf_file/0005/171707/Intersectoral-governance-for-health-in-all-policies.pdf" TargetMode="External"/><Relationship Id="rId18" Type="http://schemas.openxmlformats.org/officeDocument/2006/relationships/hyperlink" Target="http://www.euro.who.int/__data/assets/pdf_file/0005/171707/Intersectoral-governance-for-health-in-all-policies.pdf" TargetMode="External"/><Relationship Id="rId26" Type="http://schemas.openxmlformats.org/officeDocument/2006/relationships/hyperlink" Target="http://www.who.int/nmh/publications/ncds_policy_makers_to_implement_intersectoral_action.pdf" TargetMode="External"/><Relationship Id="rId39" Type="http://schemas.openxmlformats.org/officeDocument/2006/relationships/hyperlink" Target="http://ctb.ku.edu/en/table-of-contents/overview/model-for-community-change-and-improvement" TargetMode="External"/><Relationship Id="rId21" Type="http://schemas.openxmlformats.org/officeDocument/2006/relationships/hyperlink" Target="http://www.euro.who.int/__data/assets/pdf_file/0005/171707/Intersectoral-governance-for-health-in-all-policies.pdf" TargetMode="External"/><Relationship Id="rId34" Type="http://schemas.openxmlformats.org/officeDocument/2006/relationships/hyperlink" Target="http://apps.who.int/gb/ebwha/pdf_files/A61/A61_R17-en.pdf" TargetMode="External"/><Relationship Id="rId42" Type="http://schemas.openxmlformats.org/officeDocument/2006/relationships/hyperlink" Target="http://ctb.ku.edu/en/table-of-contents/overview/model-for-community-change-and-improvement" TargetMode="External"/><Relationship Id="rId47" Type="http://schemas.openxmlformats.org/officeDocument/2006/relationships/hyperlink" Target="http://ctb.ku.edu/en/table-of-contents/overview/model-for-community-change-and-improvement" TargetMode="External"/><Relationship Id="rId50" Type="http://schemas.openxmlformats.org/officeDocument/2006/relationships/hyperlink" Target="http://ctb.ku.edu/en/table-of-contents/overview/model-for-community-change-and-improvement" TargetMode="External"/><Relationship Id="rId55" Type="http://schemas.openxmlformats.org/officeDocument/2006/relationships/hyperlink" Target="http://www.redcimas.org/wordpress/wp-content/uploads/2012/09/manual_2010.pdf" TargetMode="External"/><Relationship Id="rId7" Type="http://schemas.openxmlformats.org/officeDocument/2006/relationships/hyperlink" Target="http://ec.europa.eu/chafea/documents/health/health-inequality-brochure_en.pdf" TargetMode="External"/><Relationship Id="rId12" Type="http://schemas.openxmlformats.org/officeDocument/2006/relationships/hyperlink" Target="http://www.euro.who.int/__data/assets/pdf_file/0005/171707/Intersectoral-governance-for-health-in-all-policies.pdf" TargetMode="External"/><Relationship Id="rId17" Type="http://schemas.openxmlformats.org/officeDocument/2006/relationships/hyperlink" Target="http://www.euro.who.int/__data/assets/pdf_file/0005/171707/Intersectoral-governance-for-health-in-all-policies.pdf" TargetMode="External"/><Relationship Id="rId25" Type="http://schemas.openxmlformats.org/officeDocument/2006/relationships/hyperlink" Target="http://www.who.int/nmh/publications/ncds_policy_makers_to_implement_intersectoral_action.pdf" TargetMode="External"/><Relationship Id="rId33" Type="http://schemas.openxmlformats.org/officeDocument/2006/relationships/hyperlink" Target="http://apps.who.int/gb/ebwha/pdf_files/A61/A61_R17-en.pdf" TargetMode="External"/><Relationship Id="rId38" Type="http://schemas.openxmlformats.org/officeDocument/2006/relationships/hyperlink" Target="http://ctb.ku.edu/en/table-of-contents/overview/model-for-community-change-and-improvement" TargetMode="External"/><Relationship Id="rId46" Type="http://schemas.openxmlformats.org/officeDocument/2006/relationships/hyperlink" Target="http://ctb.ku.edu/en/table-of-contents/overview/model-for-community-change-and-improvement" TargetMode="External"/><Relationship Id="rId2" Type="http://schemas.openxmlformats.org/officeDocument/2006/relationships/hyperlink" Target="http://www.who.int/social_determinants/resources/health_equity_isa_2008_en.pdf?ua=1" TargetMode="External"/><Relationship Id="rId16" Type="http://schemas.openxmlformats.org/officeDocument/2006/relationships/hyperlink" Target="http://www.euro.who.int/__data/assets/pdf_file/0005/171707/Intersectoral-governance-for-health-in-all-policies.pdf" TargetMode="External"/><Relationship Id="rId20" Type="http://schemas.openxmlformats.org/officeDocument/2006/relationships/hyperlink" Target="http://www.euro.who.int/__data/assets/pdf_file/0005/171707/Intersectoral-governance-for-health-in-all-policies.pdf" TargetMode="External"/><Relationship Id="rId29" Type="http://schemas.openxmlformats.org/officeDocument/2006/relationships/hyperlink" Target="http://apps.who.int/iris/bitstream/10665/23467/1/A61_12-en.pdf?ua=1" TargetMode="External"/><Relationship Id="rId41" Type="http://schemas.openxmlformats.org/officeDocument/2006/relationships/hyperlink" Target="http://ctb.ku.edu/en/table-of-contents/overview/model-for-community-change-and-improvement" TargetMode="External"/><Relationship Id="rId54" Type="http://schemas.openxmlformats.org/officeDocument/2006/relationships/hyperlink" Target="http://www.redcimas.org/wordpress/wp-content/uploads/2012/09/manual_2010.pdf" TargetMode="External"/><Relationship Id="rId1" Type="http://schemas.openxmlformats.org/officeDocument/2006/relationships/hyperlink" Target="http://www.who.int/social_determinants/resources/health_equity_isa_2008_en.pdf?ua=1" TargetMode="External"/><Relationship Id="rId6" Type="http://schemas.openxmlformats.org/officeDocument/2006/relationships/hyperlink" Target="http://ec.europa.eu/chafea/documents/health/health-inequality-brochure_en.pdf" TargetMode="External"/><Relationship Id="rId11" Type="http://schemas.openxmlformats.org/officeDocument/2006/relationships/hyperlink" Target="http://www.euro.who.int/__data/assets/pdf_file/0005/171707/Intersectoral-governance-for-health-in-all-policies.pdf" TargetMode="External"/><Relationship Id="rId24" Type="http://schemas.openxmlformats.org/officeDocument/2006/relationships/hyperlink" Target="http://www.euro.who.int/__data/assets/pdf_file/0005/171707/Intersectoral-governance-for-health-in-all-policies.pdf" TargetMode="External"/><Relationship Id="rId32" Type="http://schemas.openxmlformats.org/officeDocument/2006/relationships/hyperlink" Target="http://apps.who.int/gb/ebwha/pdf_files/A61/A61_R17-en.pdf" TargetMode="External"/><Relationship Id="rId37" Type="http://schemas.openxmlformats.org/officeDocument/2006/relationships/hyperlink" Target="http://ctb.ku.edu/en/table-of-contents/overview/model-for-community-change-and-improvement" TargetMode="External"/><Relationship Id="rId40" Type="http://schemas.openxmlformats.org/officeDocument/2006/relationships/hyperlink" Target="http://ctb.ku.edu/en/table-of-contents/overview/model-for-community-change-and-improvement" TargetMode="External"/><Relationship Id="rId45" Type="http://schemas.openxmlformats.org/officeDocument/2006/relationships/hyperlink" Target="http://ctb.ku.edu/en/table-of-contents/overview/model-for-community-change-and-improvement" TargetMode="External"/><Relationship Id="rId53" Type="http://schemas.openxmlformats.org/officeDocument/2006/relationships/hyperlink" Target="http://www.redcimas.org/wordpress/wp-content/uploads/2012/09/manual_2010.pdf" TargetMode="External"/><Relationship Id="rId5" Type="http://schemas.openxmlformats.org/officeDocument/2006/relationships/hyperlink" Target="http://ec.europa.eu/chafea/documents/health/health-inequality-brochure_en.pdf" TargetMode="External"/><Relationship Id="rId15" Type="http://schemas.openxmlformats.org/officeDocument/2006/relationships/hyperlink" Target="http://www.euro.who.int/__data/assets/pdf_file/0005/171707/Intersectoral-governance-for-health-in-all-policies.pdf" TargetMode="External"/><Relationship Id="rId23" Type="http://schemas.openxmlformats.org/officeDocument/2006/relationships/hyperlink" Target="http://www.euro.who.int/__data/assets/pdf_file/0005/171707/Intersectoral-governance-for-health-in-all-policies.pdf" TargetMode="External"/><Relationship Id="rId28" Type="http://schemas.openxmlformats.org/officeDocument/2006/relationships/hyperlink" Target="http://apps.who.int/iris/bitstream/10665/23467/1/A61_12-en.pdf?ua=1" TargetMode="External"/><Relationship Id="rId36" Type="http://schemas.openxmlformats.org/officeDocument/2006/relationships/hyperlink" Target="http://www.who.int/hac/events/consultation_report_health_migrants_colour_web.pdf" TargetMode="External"/><Relationship Id="rId49" Type="http://schemas.openxmlformats.org/officeDocument/2006/relationships/hyperlink" Target="http://ctb.ku.edu/en/table-of-contents/overview/model-for-community-change-and-improvement" TargetMode="External"/><Relationship Id="rId10" Type="http://schemas.openxmlformats.org/officeDocument/2006/relationships/hyperlink" Target="http://ec.europa.eu/chafea/documents/health/health-inequality-brochure_en.pdf" TargetMode="External"/><Relationship Id="rId19" Type="http://schemas.openxmlformats.org/officeDocument/2006/relationships/hyperlink" Target="http://www.euro.who.int/__data/assets/pdf_file/0005/171707/Intersectoral-governance-for-health-in-all-policies.pdf" TargetMode="External"/><Relationship Id="rId31" Type="http://schemas.openxmlformats.org/officeDocument/2006/relationships/hyperlink" Target="http://apps.who.int/gb/ebwha/pdf_files/A61/A61_R17-en.pdf" TargetMode="External"/><Relationship Id="rId44" Type="http://schemas.openxmlformats.org/officeDocument/2006/relationships/hyperlink" Target="http://ctb.ku.edu/en/table-of-contents/overview/model-for-community-change-and-improvement" TargetMode="External"/><Relationship Id="rId52" Type="http://schemas.openxmlformats.org/officeDocument/2006/relationships/hyperlink" Target="http://ctb.ku.edu/en/table-of-contents/overview/model-for-community-change-and-improvement" TargetMode="External"/><Relationship Id="rId4" Type="http://schemas.openxmlformats.org/officeDocument/2006/relationships/hyperlink" Target="http://ec.europa.eu/health/ph_information/documents/health_in_all_policies.pdf" TargetMode="External"/><Relationship Id="rId9" Type="http://schemas.openxmlformats.org/officeDocument/2006/relationships/hyperlink" Target="http://ec.europa.eu/chafea/documents/health/health-inequality-brochure_en.pdf" TargetMode="External"/><Relationship Id="rId14" Type="http://schemas.openxmlformats.org/officeDocument/2006/relationships/hyperlink" Target="http://www.euro.who.int/__data/assets/pdf_file/0005/171707/Intersectoral-governance-for-health-in-all-policies.pdf" TargetMode="External"/><Relationship Id="rId22" Type="http://schemas.openxmlformats.org/officeDocument/2006/relationships/hyperlink" Target="http://www.euro.who.int/__data/assets/pdf_file/0005/171707/Intersectoral-governance-for-health-in-all-policies.pdf" TargetMode="External"/><Relationship Id="rId27" Type="http://schemas.openxmlformats.org/officeDocument/2006/relationships/hyperlink" Target="http://apps.who.int/iris/bitstream/10665/23467/1/A61_12-en.pdf?ua=1" TargetMode="External"/><Relationship Id="rId30" Type="http://schemas.openxmlformats.org/officeDocument/2006/relationships/hyperlink" Target="http://apps.who.int/iris/bitstream/10665/23467/1/A61_12-en.pdf?ua=1" TargetMode="External"/><Relationship Id="rId35" Type="http://schemas.openxmlformats.org/officeDocument/2006/relationships/hyperlink" Target="http://www.who.int/hac/events/consultation_report_health_migrants_colour_web.pdf" TargetMode="External"/><Relationship Id="rId43" Type="http://schemas.openxmlformats.org/officeDocument/2006/relationships/hyperlink" Target="http://ctb.ku.edu/en/table-of-contents/overview/model-for-community-change-and-improvement" TargetMode="External"/><Relationship Id="rId48" Type="http://schemas.openxmlformats.org/officeDocument/2006/relationships/hyperlink" Target="http://ctb.ku.edu/en/table-of-contents/overview/model-for-community-change-and-improvement" TargetMode="External"/><Relationship Id="rId56" Type="http://schemas.openxmlformats.org/officeDocument/2006/relationships/hyperlink" Target="http://www.redcimas.org/wordpress/wp-content/uploads/2012/09/manual_2010.pdf" TargetMode="External"/><Relationship Id="rId8" Type="http://schemas.openxmlformats.org/officeDocument/2006/relationships/hyperlink" Target="http://ec.europa.eu/chafea/documents/health/health-inequality-brochure_en.pdf" TargetMode="External"/><Relationship Id="rId51" Type="http://schemas.openxmlformats.org/officeDocument/2006/relationships/hyperlink" Target="http://ctb.ku.edu/en/table-of-contents/overview/model-for-community-change-and-improvement" TargetMode="External"/><Relationship Id="rId3" Type="http://schemas.openxmlformats.org/officeDocument/2006/relationships/hyperlink" Target="http://ec.europa.eu/health/ph_information/documents/health_in_all_polic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4445</Words>
  <Characters>24452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Mayra Bosada</dc:creator>
  <cp:keywords/>
  <dc:description/>
  <cp:lastModifiedBy>acanton</cp:lastModifiedBy>
  <cp:revision>3</cp:revision>
  <dcterms:created xsi:type="dcterms:W3CDTF">2016-11-15T10:03:00Z</dcterms:created>
  <dcterms:modified xsi:type="dcterms:W3CDTF">2016-11-16T11:24:00Z</dcterms:modified>
</cp:coreProperties>
</file>